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57" w:rsidRDefault="00BF7655">
      <w:pPr>
        <w:shd w:val="clear" w:color="auto" w:fill="FFFFFF"/>
        <w:spacing w:line="245" w:lineRule="exact"/>
        <w:ind w:left="742" w:hanging="742"/>
      </w:pPr>
      <w:r>
        <w:rPr>
          <w:b/>
          <w:bCs/>
          <w:color w:val="000000"/>
        </w:rPr>
        <w:t xml:space="preserve">OP 29:   Validation of a gastro-oesophageal reflux disease (GERD) specific screening instrument for </w:t>
      </w:r>
      <w:r>
        <w:rPr>
          <w:b/>
          <w:bCs/>
          <w:color w:val="000000"/>
          <w:spacing w:val="-3"/>
        </w:rPr>
        <w:t>epidemiologica</w:t>
      </w:r>
      <w:r w:rsidR="007B2332">
        <w:rPr>
          <w:b/>
          <w:bCs/>
          <w:color w:val="000000"/>
          <w:spacing w:val="-3"/>
        </w:rPr>
        <w:t>l</w:t>
      </w:r>
      <w:r w:rsidR="00665627">
        <w:rPr>
          <w:b/>
          <w:bCs/>
          <w:color w:val="000000"/>
          <w:spacing w:val="-3"/>
        </w:rPr>
        <w:t>0</w:t>
      </w:r>
      <w:bookmarkStart w:id="0" w:name="_GoBack"/>
      <w:bookmarkEnd w:id="0"/>
      <w:r>
        <w:rPr>
          <w:b/>
          <w:bCs/>
          <w:color w:val="000000"/>
          <w:spacing w:val="-3"/>
        </w:rPr>
        <w:t xml:space="preserve"> purposes</w:t>
      </w:r>
    </w:p>
    <w:p w:rsidR="00243657" w:rsidRDefault="00BF7655">
      <w:pPr>
        <w:shd w:val="clear" w:color="auto" w:fill="FFFFFF"/>
        <w:spacing w:line="245" w:lineRule="exact"/>
        <w:ind w:left="727"/>
      </w:pPr>
      <w:r>
        <w:rPr>
          <w:i/>
          <w:iCs/>
          <w:color w:val="000000"/>
          <w:spacing w:val="-2"/>
          <w:sz w:val="21"/>
          <w:szCs w:val="21"/>
        </w:rPr>
        <w:t>Amarasiri WADL, Ranasinghe C, PathmeswaranA, DeSilvaHJ.</w:t>
      </w:r>
    </w:p>
    <w:p w:rsidR="00243657" w:rsidRDefault="00BF7655">
      <w:pPr>
        <w:shd w:val="clear" w:color="auto" w:fill="FFFFFF"/>
        <w:spacing w:line="245" w:lineRule="exact"/>
        <w:ind w:left="749"/>
      </w:pPr>
      <w:r>
        <w:rPr>
          <w:i/>
          <w:iCs/>
          <w:color w:val="000000"/>
          <w:spacing w:val="-3"/>
          <w:sz w:val="21"/>
          <w:szCs w:val="21"/>
        </w:rPr>
        <w:t>Gastroenterology Research Laboratory, Colombo North Teaching Hospital, Ragama</w:t>
      </w:r>
    </w:p>
    <w:p w:rsidR="00243657" w:rsidRDefault="00BF7655">
      <w:pPr>
        <w:shd w:val="clear" w:color="auto" w:fill="FFFFFF"/>
        <w:spacing w:before="245" w:line="245" w:lineRule="exact"/>
        <w:ind w:left="749"/>
      </w:pPr>
      <w:r>
        <w:rPr>
          <w:color w:val="000000"/>
        </w:rPr>
        <w:t>Introduction: The prevalence of GERD is increasing worldwide; its community prevalence in Sri</w:t>
      </w:r>
    </w:p>
    <w:p w:rsidR="00243657" w:rsidRDefault="00BF7655">
      <w:pPr>
        <w:shd w:val="clear" w:color="auto" w:fill="FFFFFF"/>
        <w:spacing w:line="245" w:lineRule="exact"/>
        <w:ind w:left="749"/>
      </w:pPr>
      <w:r>
        <w:rPr>
          <w:color w:val="000000"/>
          <w:spacing w:val="-1"/>
        </w:rPr>
        <w:t>Lanka is unknown.</w:t>
      </w:r>
    </w:p>
    <w:p w:rsidR="00243657" w:rsidRDefault="00BF7655">
      <w:pPr>
        <w:shd w:val="clear" w:color="auto" w:fill="FFFFFF"/>
        <w:spacing w:line="245" w:lineRule="exact"/>
        <w:ind w:left="742"/>
      </w:pPr>
      <w:r>
        <w:rPr>
          <w:color w:val="000000"/>
          <w:spacing w:val="-2"/>
        </w:rPr>
        <w:t>Aims: To develop a clinical score to screen for GERD in the community and assess whether a score</w:t>
      </w:r>
    </w:p>
    <w:p w:rsidR="00243657" w:rsidRDefault="00BF7655">
      <w:pPr>
        <w:shd w:val="clear" w:color="auto" w:fill="FFFFFF"/>
        <w:spacing w:line="245" w:lineRule="exact"/>
        <w:ind w:left="742"/>
      </w:pPr>
      <w:r>
        <w:rPr>
          <w:color w:val="000000"/>
          <w:spacing w:val="-2"/>
        </w:rPr>
        <w:t>using both symptom frequency and severity correlates better to an objective measure of GERD than</w:t>
      </w:r>
    </w:p>
    <w:p w:rsidR="00243657" w:rsidRDefault="00BF7655">
      <w:pPr>
        <w:shd w:val="clear" w:color="auto" w:fill="FFFFFF"/>
        <w:spacing w:line="245" w:lineRule="exact"/>
        <w:ind w:left="749"/>
      </w:pPr>
      <w:r>
        <w:rPr>
          <w:color w:val="000000"/>
        </w:rPr>
        <w:t>one using only symptom frequency.</w:t>
      </w:r>
    </w:p>
    <w:p w:rsidR="00243657" w:rsidRDefault="00BF7655">
      <w:pPr>
        <w:shd w:val="clear" w:color="auto" w:fill="FFFFFF"/>
        <w:spacing w:line="245" w:lineRule="exact"/>
        <w:ind w:left="749"/>
      </w:pPr>
      <w:r>
        <w:rPr>
          <w:color w:val="000000"/>
          <w:spacing w:val="-3"/>
        </w:rPr>
        <w:t>Methodology: 58 GERD patients (endoscopy positive) and 60 controls (matched for age and gender)</w:t>
      </w:r>
    </w:p>
    <w:p w:rsidR="00243657" w:rsidRDefault="00BF7655">
      <w:pPr>
        <w:shd w:val="clear" w:color="auto" w:fill="FFFFFF"/>
        <w:spacing w:line="245" w:lineRule="exact"/>
        <w:ind w:left="749"/>
      </w:pPr>
      <w:r>
        <w:rPr>
          <w:color w:val="000000"/>
          <w:spacing w:val="5"/>
        </w:rPr>
        <w:t>were given a GERD-specific interviewer-administered questionnaire assessing seven upper</w:t>
      </w:r>
    </w:p>
    <w:p w:rsidR="00243657" w:rsidRDefault="00BF7655">
      <w:pPr>
        <w:shd w:val="clear" w:color="auto" w:fill="FFFFFF"/>
        <w:spacing w:line="245" w:lineRule="exact"/>
        <w:ind w:left="749"/>
      </w:pPr>
      <w:r>
        <w:rPr>
          <w:color w:val="000000"/>
          <w:spacing w:val="-1"/>
        </w:rPr>
        <w:t>gastrointestinal symptoms. Each symptom was graded using Likert scales for frequency (4-items)</w:t>
      </w:r>
    </w:p>
    <w:p w:rsidR="00243657" w:rsidRDefault="00BF7655">
      <w:pPr>
        <w:shd w:val="clear" w:color="auto" w:fill="FFFFFF"/>
        <w:spacing w:line="245" w:lineRule="exact"/>
        <w:ind w:left="756"/>
      </w:pPr>
      <w:r>
        <w:rPr>
          <w:color w:val="000000"/>
          <w:spacing w:val="-5"/>
        </w:rPr>
        <w:t>and severity (5-items), and two scores were generated. Score 1 was the sum of frequency of symptoms</w:t>
      </w:r>
    </w:p>
    <w:p w:rsidR="00243657" w:rsidRDefault="00BF7655">
      <w:pPr>
        <w:shd w:val="clear" w:color="auto" w:fill="FFFFFF"/>
        <w:spacing w:line="245" w:lineRule="exact"/>
        <w:ind w:left="749"/>
      </w:pPr>
      <w:r>
        <w:rPr>
          <w:color w:val="000000"/>
          <w:spacing w:val="1"/>
        </w:rPr>
        <w:t>while score 2 was the sum of products of frequency and severity of each symptom. The patients</w:t>
      </w:r>
    </w:p>
    <w:p w:rsidR="00243657" w:rsidRDefault="00BF7655">
      <w:pPr>
        <w:shd w:val="clear" w:color="auto" w:fill="FFFFFF"/>
        <w:spacing w:line="245" w:lineRule="exact"/>
        <w:ind w:left="756"/>
      </w:pPr>
      <w:r>
        <w:rPr>
          <w:color w:val="000000"/>
          <w:spacing w:val="2"/>
        </w:rPr>
        <w:t>then underwent oesophageal manometry and 24h pHmetry. Cut-off values were determined by</w:t>
      </w:r>
    </w:p>
    <w:p w:rsidR="00243657" w:rsidRDefault="00BF7655">
      <w:pPr>
        <w:shd w:val="clear" w:color="auto" w:fill="FFFFFF"/>
        <w:spacing w:line="245" w:lineRule="exact"/>
        <w:ind w:left="756"/>
      </w:pPr>
      <w:r>
        <w:rPr>
          <w:color w:val="000000"/>
          <w:spacing w:val="1"/>
        </w:rPr>
        <w:t>constructing receiver-operating characteristic curves.</w:t>
      </w:r>
    </w:p>
    <w:p w:rsidR="00243657" w:rsidRDefault="00BF7655">
      <w:pPr>
        <w:shd w:val="clear" w:color="auto" w:fill="FFFFFF"/>
        <w:spacing w:line="245" w:lineRule="exact"/>
        <w:ind w:left="749"/>
      </w:pPr>
      <w:r>
        <w:rPr>
          <w:color w:val="000000"/>
          <w:spacing w:val="2"/>
        </w:rPr>
        <w:t>Results: For both scoring systems, mean scores of cases were significantly higher than controls</w:t>
      </w:r>
    </w:p>
    <w:p w:rsidR="00243657" w:rsidRDefault="00BF7655">
      <w:pPr>
        <w:shd w:val="clear" w:color="auto" w:fill="FFFFFF"/>
        <w:spacing w:line="245" w:lineRule="exact"/>
        <w:ind w:left="756"/>
      </w:pPr>
      <w:r>
        <w:rPr>
          <w:color w:val="000000"/>
          <w:spacing w:val="1"/>
        </w:rPr>
        <w:t>(p=0.000). The cut-off for score 1 was &gt; 11.50 (sensitivity 91.4%, specificity 85%, positive and</w:t>
      </w:r>
    </w:p>
    <w:p w:rsidR="00243657" w:rsidRDefault="00BF7655">
      <w:pPr>
        <w:shd w:val="clear" w:color="auto" w:fill="FFFFFF"/>
        <w:spacing w:line="245" w:lineRule="exact"/>
        <w:ind w:left="749"/>
      </w:pPr>
      <w:r>
        <w:rPr>
          <w:color w:val="000000"/>
          <w:spacing w:val="1"/>
        </w:rPr>
        <w:t>negative predictive values 83.29% and 92.34%). The cut-off for score 2 was &gt; 12.50 (sensitivity</w:t>
      </w:r>
    </w:p>
    <w:p w:rsidR="00243657" w:rsidRDefault="00BF7655">
      <w:pPr>
        <w:shd w:val="clear" w:color="auto" w:fill="FFFFFF"/>
        <w:spacing w:line="245" w:lineRule="exact"/>
        <w:ind w:left="763"/>
      </w:pPr>
      <w:r>
        <w:rPr>
          <w:color w:val="000000"/>
          <w:spacing w:val="-1"/>
        </w:rPr>
        <w:t>96.6%, specificity 80%, positive and negative predictive values 81.06% and 92.32%). Both scores</w:t>
      </w:r>
    </w:p>
    <w:p w:rsidR="00243657" w:rsidRDefault="00BF7655">
      <w:pPr>
        <w:shd w:val="clear" w:color="auto" w:fill="FFFFFF"/>
        <w:spacing w:line="245" w:lineRule="exact"/>
        <w:ind w:left="763"/>
      </w:pPr>
      <w:r>
        <w:rPr>
          <w:color w:val="000000"/>
          <w:spacing w:val="-3"/>
        </w:rPr>
        <w:t>showed high reproducibility (intra class correlation coefficient scorel=0.94 and score 2=0.82). There</w:t>
      </w:r>
    </w:p>
    <w:p w:rsidR="00243657" w:rsidRDefault="00BF7655">
      <w:pPr>
        <w:shd w:val="clear" w:color="auto" w:fill="FFFFFF"/>
        <w:spacing w:line="245" w:lineRule="exact"/>
        <w:ind w:left="756"/>
      </w:pPr>
      <w:r>
        <w:rPr>
          <w:color w:val="000000"/>
          <w:spacing w:val="2"/>
        </w:rPr>
        <w:t>was good correlation between both scores and 24-h pH parameters (Spearman rank correlation,</w:t>
      </w:r>
    </w:p>
    <w:p w:rsidR="00243657" w:rsidRDefault="00BF7655">
      <w:pPr>
        <w:shd w:val="clear" w:color="auto" w:fill="FFFFFF"/>
        <w:spacing w:before="7" w:line="245" w:lineRule="exact"/>
        <w:ind w:left="756"/>
      </w:pPr>
      <w:r>
        <w:rPr>
          <w:color w:val="000000"/>
          <w:spacing w:val="-1"/>
        </w:rPr>
        <w:t>p=0.01), but score 2 was significantly better.</w:t>
      </w:r>
    </w:p>
    <w:p w:rsidR="00243657" w:rsidRDefault="00BF7655">
      <w:pPr>
        <w:shd w:val="clear" w:color="auto" w:fill="FFFFFF"/>
        <w:spacing w:line="245" w:lineRule="exact"/>
        <w:ind w:left="763"/>
      </w:pPr>
      <w:r>
        <w:rPr>
          <w:color w:val="000000"/>
          <w:spacing w:val="-1"/>
        </w:rPr>
        <w:t>Conclusion: Our GERD questionnaire is valid, reproducible and showed better correlation with an</w:t>
      </w:r>
    </w:p>
    <w:p w:rsidR="00243657" w:rsidRDefault="00BF7655">
      <w:pPr>
        <w:shd w:val="clear" w:color="auto" w:fill="FFFFFF"/>
        <w:spacing w:line="245" w:lineRule="exact"/>
        <w:ind w:left="770"/>
      </w:pPr>
      <w:r>
        <w:rPr>
          <w:color w:val="000000"/>
          <w:spacing w:val="1"/>
        </w:rPr>
        <w:t>objective test when both severity and frequency of symptoms were scored rather than frequency</w:t>
      </w:r>
    </w:p>
    <w:p w:rsidR="00243657" w:rsidRDefault="00BF7655">
      <w:pPr>
        <w:shd w:val="clear" w:color="auto" w:fill="FFFFFF"/>
        <w:spacing w:line="245" w:lineRule="exact"/>
        <w:ind w:left="763"/>
      </w:pPr>
      <w:r>
        <w:rPr>
          <w:b/>
          <w:bCs/>
          <w:color w:val="000000"/>
          <w:spacing w:val="-6"/>
        </w:rPr>
        <w:t>alone.</w:t>
      </w:r>
    </w:p>
    <w:p w:rsidR="00243657" w:rsidRDefault="00BF7655">
      <w:pPr>
        <w:shd w:val="clear" w:color="auto" w:fill="FFFFFF"/>
        <w:spacing w:before="410" w:line="252" w:lineRule="exact"/>
        <w:ind w:left="22"/>
      </w:pPr>
      <w:r>
        <w:rPr>
          <w:b/>
          <w:bCs/>
          <w:color w:val="000000"/>
          <w:spacing w:val="-2"/>
        </w:rPr>
        <w:t>OP 30:   Seven-minute screening test: a reliable bedside test for dementia</w:t>
      </w:r>
    </w:p>
    <w:p w:rsidR="00243657" w:rsidRDefault="00BF7655">
      <w:pPr>
        <w:shd w:val="clear" w:color="auto" w:fill="FFFFFF"/>
        <w:spacing w:line="252" w:lineRule="exact"/>
        <w:ind w:left="763"/>
      </w:pPr>
      <w:r>
        <w:rPr>
          <w:i/>
          <w:iCs/>
          <w:color w:val="000000"/>
          <w:spacing w:val="-4"/>
          <w:sz w:val="21"/>
          <w:szCs w:val="21"/>
        </w:rPr>
        <w:t>De Silva HA, Pathmeswaran A, Kuruppuarachi KALA.</w:t>
      </w:r>
    </w:p>
    <w:p w:rsidR="00243657" w:rsidRDefault="00BF7655">
      <w:pPr>
        <w:shd w:val="clear" w:color="auto" w:fill="FFFFFF"/>
        <w:spacing w:line="252" w:lineRule="exact"/>
        <w:ind w:left="770"/>
      </w:pPr>
      <w:r>
        <w:rPr>
          <w:i/>
          <w:iCs/>
          <w:color w:val="000000"/>
          <w:spacing w:val="-8"/>
          <w:sz w:val="21"/>
          <w:szCs w:val="21"/>
        </w:rPr>
        <w:t>Department of Pharmacology, Community Medicine and Psychiatry, Faculty of Medicine, University</w:t>
      </w:r>
    </w:p>
    <w:p w:rsidR="00243657" w:rsidRDefault="00BF7655">
      <w:pPr>
        <w:shd w:val="clear" w:color="auto" w:fill="FFFFFF"/>
        <w:spacing w:before="14" w:line="252" w:lineRule="exact"/>
        <w:ind w:left="770"/>
      </w:pPr>
      <w:r>
        <w:rPr>
          <w:b/>
          <w:bCs/>
          <w:i/>
          <w:iCs/>
          <w:color w:val="000000"/>
          <w:spacing w:val="-2"/>
          <w:sz w:val="21"/>
          <w:szCs w:val="21"/>
        </w:rPr>
        <w:t>ofKelaniya.</w:t>
      </w:r>
    </w:p>
    <w:p w:rsidR="00243657" w:rsidRDefault="00BF7655">
      <w:pPr>
        <w:shd w:val="clear" w:color="auto" w:fill="FFFFFF"/>
        <w:spacing w:before="238" w:line="245" w:lineRule="exact"/>
        <w:ind w:left="770" w:right="7"/>
        <w:jc w:val="both"/>
      </w:pPr>
      <w:r>
        <w:rPr>
          <w:color w:val="000000"/>
          <w:spacing w:val="-2"/>
        </w:rPr>
        <w:t xml:space="preserve">Objective: To examine the reliability of the 7-minute screen as a cognitive screening instrument for </w:t>
      </w:r>
      <w:r>
        <w:rPr>
          <w:color w:val="000000"/>
          <w:spacing w:val="-1"/>
        </w:rPr>
        <w:t>Alzheimer's disease (AD) in a Sri Lankan population.</w:t>
      </w:r>
    </w:p>
    <w:p w:rsidR="00BF7655" w:rsidRDefault="00BF7655">
      <w:pPr>
        <w:shd w:val="clear" w:color="auto" w:fill="FFFFFF"/>
        <w:spacing w:line="245" w:lineRule="exact"/>
        <w:ind w:left="778"/>
        <w:jc w:val="both"/>
        <w:rPr>
          <w:color w:val="000000"/>
        </w:rPr>
      </w:pPr>
      <w:r>
        <w:rPr>
          <w:color w:val="000000"/>
          <w:spacing w:val="-7"/>
        </w:rPr>
        <w:t xml:space="preserve">Method: 53 patients with mild-moderate AD, 34 with other dementias, 36 with mild cognitive impairment </w:t>
      </w:r>
      <w:r>
        <w:rPr>
          <w:color w:val="000000"/>
          <w:spacing w:val="-4"/>
        </w:rPr>
        <w:t xml:space="preserve">(MCI) referred to a memory clinic, and 60 patients with depression with no evidence of dementia and </w:t>
      </w:r>
      <w:r>
        <w:rPr>
          <w:color w:val="000000"/>
          <w:spacing w:val="1"/>
        </w:rPr>
        <w:t xml:space="preserve">56 healthy volunteers (controls) were recruited to the study after informed consent. All were </w:t>
      </w:r>
      <w:r>
        <w:rPr>
          <w:color w:val="000000"/>
          <w:spacing w:val="-1"/>
        </w:rPr>
        <w:t xml:space="preserve">community-dwelling and aged &gt; 60 years. Patients with severe dementia, receptive aphasia, visual </w:t>
      </w:r>
      <w:r>
        <w:rPr>
          <w:color w:val="000000"/>
          <w:spacing w:val="-3"/>
        </w:rPr>
        <w:t xml:space="preserve">and motor impairment, and severe depression were excluded. AH diagnoses were made according to </w:t>
      </w:r>
      <w:r>
        <w:rPr>
          <w:color w:val="000000"/>
          <w:spacing w:val="-2"/>
        </w:rPr>
        <w:t xml:space="preserve">established criteria and the diagnosis of depression was confirmed"Sfter psychiatric evaluation. All subjects underwent cognitive assessment with the Mini Mental State Examination (MMSE) and the </w:t>
      </w:r>
      <w:r>
        <w:rPr>
          <w:color w:val="000000"/>
          <w:spacing w:val="-4"/>
        </w:rPr>
        <w:t xml:space="preserve">7-minute screen. This screen consists of four components (enhanced cued recall, temporal orientation, </w:t>
      </w:r>
      <w:r>
        <w:rPr>
          <w:color w:val="000000"/>
          <w:spacing w:val="-2"/>
        </w:rPr>
        <w:t xml:space="preserve">verbal fluency, and clock drawing) that assess memory, visuospatial and visuoconstruction, fluency </w:t>
      </w:r>
      <w:r>
        <w:rPr>
          <w:color w:val="000000"/>
        </w:rPr>
        <w:t>of expression, and orientation to time, cognitive functions typically compromised in AD.</w:t>
      </w:r>
    </w:p>
    <w:p w:rsidR="00811312" w:rsidRDefault="00811312">
      <w:pPr>
        <w:shd w:val="clear" w:color="auto" w:fill="FFFFFF"/>
        <w:spacing w:line="245" w:lineRule="exact"/>
        <w:ind w:left="778"/>
        <w:jc w:val="both"/>
        <w:rPr>
          <w:color w:val="000000"/>
        </w:rPr>
      </w:pPr>
    </w:p>
    <w:p w:rsidR="00811312" w:rsidRDefault="00811312" w:rsidP="00811312">
      <w:pPr>
        <w:shd w:val="clear" w:color="auto" w:fill="FFFFFF"/>
        <w:ind w:left="720"/>
      </w:pPr>
      <w:r>
        <w:rPr>
          <w:b/>
          <w:bCs/>
          <w:color w:val="000000"/>
          <w:spacing w:val="-1"/>
        </w:rPr>
        <w:t xml:space="preserve">Results: </w:t>
      </w:r>
      <w:r>
        <w:rPr>
          <w:color w:val="000000"/>
          <w:spacing w:val="-1"/>
        </w:rPr>
        <w:t>Baseline characteristics did not differ significantly in the five groups</w:t>
      </w:r>
    </w:p>
    <w:p w:rsidR="00811312" w:rsidRDefault="00811312" w:rsidP="00811312">
      <w:pPr>
        <w:spacing w:after="151"/>
        <w:rPr>
          <w:rFonts w:cs="Lath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1"/>
        <w:gridCol w:w="1879"/>
        <w:gridCol w:w="2347"/>
        <w:gridCol w:w="1714"/>
      </w:tblGrid>
      <w:tr w:rsidR="00811312" w:rsidTr="00C47E3C">
        <w:trPr>
          <w:trHeight w:hRule="exact" w:val="317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11312" w:rsidRDefault="00811312" w:rsidP="00C47E3C">
            <w:pPr>
              <w:shd w:val="clear" w:color="auto" w:fill="FFFFFF"/>
              <w:ind w:left="14"/>
            </w:pPr>
            <w:r>
              <w:rPr>
                <w:color w:val="000000"/>
                <w:sz w:val="19"/>
                <w:szCs w:val="19"/>
              </w:rPr>
              <w:t>Group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11312" w:rsidRDefault="00811312" w:rsidP="00C47E3C">
            <w:pPr>
              <w:shd w:val="clear" w:color="auto" w:fill="FFFFFF"/>
              <w:ind w:left="252"/>
            </w:pPr>
            <w:r>
              <w:rPr>
                <w:color w:val="000000"/>
              </w:rPr>
              <w:t>No. of subjects</w:t>
            </w:r>
          </w:p>
        </w:tc>
        <w:tc>
          <w:tcPr>
            <w:tcW w:w="4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09"/>
            </w:pPr>
            <w:r>
              <w:rPr>
                <w:color w:val="000000"/>
                <w:spacing w:val="-2"/>
              </w:rPr>
              <w:t>% correctly identified*</w:t>
            </w:r>
          </w:p>
        </w:tc>
      </w:tr>
      <w:tr w:rsidR="00811312" w:rsidTr="00C47E3C">
        <w:trPr>
          <w:trHeight w:hRule="exact" w:val="317"/>
        </w:trPr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1312" w:rsidRDefault="00811312" w:rsidP="00C47E3C"/>
          <w:p w:rsidR="00811312" w:rsidRDefault="00811312" w:rsidP="00C47E3C"/>
        </w:tc>
        <w:tc>
          <w:tcPr>
            <w:tcW w:w="1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1312" w:rsidRDefault="00811312" w:rsidP="00C47E3C"/>
          <w:p w:rsidR="00811312" w:rsidRDefault="00811312" w:rsidP="00C47E3C"/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1312" w:rsidRDefault="00811312" w:rsidP="00C47E3C">
            <w:pPr>
              <w:shd w:val="clear" w:color="auto" w:fill="FFFFFF"/>
              <w:ind w:left="209"/>
            </w:pPr>
            <w:r>
              <w:rPr>
                <w:color w:val="000000"/>
                <w:spacing w:val="-7"/>
              </w:rPr>
              <w:t>MMSE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1312" w:rsidRDefault="00811312" w:rsidP="00C47E3C">
            <w:pPr>
              <w:shd w:val="clear" w:color="auto" w:fill="FFFFFF"/>
              <w:ind w:left="151"/>
            </w:pPr>
            <w:r>
              <w:rPr>
                <w:color w:val="000000"/>
                <w:spacing w:val="-6"/>
              </w:rPr>
              <w:t>7-rninute</w:t>
            </w:r>
          </w:p>
        </w:tc>
      </w:tr>
      <w:tr w:rsidR="00811312" w:rsidTr="00C47E3C">
        <w:trPr>
          <w:trHeight w:hRule="exact" w:val="31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14"/>
            </w:pPr>
            <w:r>
              <w:rPr>
                <w:color w:val="000000"/>
                <w:sz w:val="19"/>
                <w:szCs w:val="19"/>
              </w:rPr>
              <w:t>AD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74"/>
            </w:pPr>
            <w:r>
              <w:rPr>
                <w:color w:val="000000"/>
              </w:rPr>
              <w:t>53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23"/>
            </w:pPr>
            <w:r>
              <w:rPr>
                <w:color w:val="000000"/>
              </w:rPr>
              <w:t>81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180"/>
            </w:pPr>
            <w:r>
              <w:rPr>
                <w:color w:val="000000"/>
              </w:rPr>
              <w:t>100</w:t>
            </w:r>
          </w:p>
        </w:tc>
      </w:tr>
      <w:tr w:rsidR="00811312" w:rsidTr="00C47E3C">
        <w:trPr>
          <w:trHeight w:hRule="exact" w:val="31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14"/>
            </w:pPr>
            <w:r>
              <w:rPr>
                <w:color w:val="000000"/>
                <w:sz w:val="19"/>
                <w:szCs w:val="19"/>
              </w:rPr>
              <w:t>MCI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74"/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16"/>
            </w:pPr>
            <w:r>
              <w:rPr>
                <w:color w:val="000000"/>
              </w:rPr>
              <w:t>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158"/>
            </w:pPr>
            <w:r>
              <w:rPr>
                <w:color w:val="000000"/>
              </w:rPr>
              <w:t>42</w:t>
            </w:r>
          </w:p>
        </w:tc>
      </w:tr>
      <w:tr w:rsidR="00811312" w:rsidTr="00C47E3C">
        <w:trPr>
          <w:trHeight w:hRule="exact" w:val="338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Other dementias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74"/>
            </w:pPr>
            <w:r>
              <w:rPr>
                <w:color w:val="000000"/>
              </w:rPr>
              <w:t>34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23"/>
            </w:pPr>
            <w:r>
              <w:rPr>
                <w:color w:val="000000"/>
              </w:rPr>
              <w:t>59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173"/>
            </w:pPr>
            <w:r>
              <w:rPr>
                <w:color w:val="000000"/>
              </w:rPr>
              <w:t>88</w:t>
            </w:r>
          </w:p>
        </w:tc>
      </w:tr>
      <w:tr w:rsidR="00811312" w:rsidTr="00C47E3C">
        <w:trPr>
          <w:trHeight w:hRule="exact" w:val="31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lastRenderedPageBreak/>
              <w:t>Normal (controls)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66"/>
            </w:pPr>
            <w:r>
              <w:rPr>
                <w:color w:val="000000"/>
              </w:rPr>
              <w:t>54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09"/>
            </w:pPr>
            <w:r>
              <w:rPr>
                <w:color w:val="000000"/>
              </w:rPr>
              <w:t>73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158"/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811312" w:rsidTr="00C47E3C">
        <w:trPr>
          <w:trHeight w:hRule="exact" w:val="353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7"/>
            </w:pPr>
            <w:r>
              <w:rPr>
                <w:color w:val="000000"/>
                <w:spacing w:val="3"/>
              </w:rPr>
              <w:t>Depression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66"/>
            </w:pPr>
            <w:r>
              <w:rPr>
                <w:color w:val="000000"/>
              </w:rPr>
              <w:t>60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216"/>
            </w:pPr>
            <w:r>
              <w:rPr>
                <w:color w:val="000000"/>
              </w:rPr>
              <w:t>27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312" w:rsidRDefault="00811312" w:rsidP="00C47E3C">
            <w:pPr>
              <w:shd w:val="clear" w:color="auto" w:fill="FFFFFF"/>
              <w:ind w:left="166"/>
            </w:pPr>
            <w:r>
              <w:rPr>
                <w:color w:val="000000"/>
              </w:rPr>
              <w:t>57</w:t>
            </w:r>
          </w:p>
        </w:tc>
      </w:tr>
    </w:tbl>
    <w:p w:rsidR="00811312" w:rsidRDefault="00811312" w:rsidP="00811312">
      <w:pPr>
        <w:shd w:val="clear" w:color="auto" w:fill="FFFFFF"/>
        <w:spacing w:before="144" w:line="238" w:lineRule="exact"/>
        <w:ind w:left="734"/>
      </w:pPr>
      <w:r>
        <w:rPr>
          <w:color w:val="000000"/>
          <w:spacing w:val="-2"/>
        </w:rPr>
        <w:t xml:space="preserve">*Correct identification for AD, MCI, other dementias: test (+); correct identification for normal, </w:t>
      </w:r>
      <w:r>
        <w:rPr>
          <w:color w:val="000000"/>
          <w:spacing w:val="1"/>
        </w:rPr>
        <w:t>depression; test (-)</w:t>
      </w:r>
    </w:p>
    <w:p w:rsidR="00811312" w:rsidRDefault="00811312" w:rsidP="00811312">
      <w:pPr>
        <w:shd w:val="clear" w:color="auto" w:fill="FFFFFF"/>
        <w:spacing w:before="238" w:line="238" w:lineRule="exact"/>
        <w:ind w:left="734" w:right="72"/>
        <w:jc w:val="both"/>
      </w:pPr>
      <w:r>
        <w:rPr>
          <w:b/>
          <w:bCs/>
          <w:color w:val="000000"/>
          <w:spacing w:val="-3"/>
        </w:rPr>
        <w:t xml:space="preserve">Conclusion: </w:t>
      </w:r>
      <w:r>
        <w:rPr>
          <w:color w:val="000000"/>
          <w:spacing w:val="-3"/>
        </w:rPr>
        <w:t xml:space="preserve">The 7-minute neurocognitive screen is a reliable instrument to screen for AD, MCI, and </w:t>
      </w:r>
      <w:r>
        <w:rPr>
          <w:color w:val="000000"/>
        </w:rPr>
        <w:t>other dementias and was more reliable than the MMSE in this Sri Lankan population.</w:t>
      </w:r>
    </w:p>
    <w:p w:rsidR="00811312" w:rsidRDefault="00811312">
      <w:pPr>
        <w:shd w:val="clear" w:color="auto" w:fill="FFFFFF"/>
        <w:spacing w:line="245" w:lineRule="exact"/>
        <w:ind w:left="778"/>
        <w:jc w:val="both"/>
      </w:pPr>
    </w:p>
    <w:sectPr w:rsidR="00811312" w:rsidSect="00243657">
      <w:type w:val="continuous"/>
      <w:pgSz w:w="12240" w:h="15840"/>
      <w:pgMar w:top="1440" w:right="2002" w:bottom="720" w:left="16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655"/>
    <w:rsid w:val="00243657"/>
    <w:rsid w:val="00665627"/>
    <w:rsid w:val="007B2332"/>
    <w:rsid w:val="00811312"/>
    <w:rsid w:val="00B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4D3952-91F4-442B-B3B1-0061B0E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Soft</cp:lastModifiedBy>
  <cp:revision>3</cp:revision>
  <dcterms:created xsi:type="dcterms:W3CDTF">2015-10-07T06:04:00Z</dcterms:created>
  <dcterms:modified xsi:type="dcterms:W3CDTF">2015-10-07T10:25:00Z</dcterms:modified>
</cp:coreProperties>
</file>