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0" w:name="_Hlk147827150"/>
      <w:bookmarkStart w:id="1" w:name="_Hlk147826904"/>
      <w:r>
        <w:rPr>
          <w:rFonts w:ascii="Times New Roman" w:hAnsi="Times New Roman" w:cs="Times New Roman"/>
          <w:b/>
          <w:bCs/>
          <w:sz w:val="28"/>
          <w:szCs w:val="28"/>
        </w:rPr>
        <w:t>Sustainable Development in Sri Lankan Banks: A Non-Financial Disclosure Analysis</w:t>
      </w:r>
    </w:p>
    <w:bookmarkEnd w:id="0"/>
    <w:p>
      <w:pPr>
        <w:jc w:val="center"/>
        <w:rPr>
          <w:rFonts w:ascii="Times New Roman" w:hAnsi="Times New Roman" w:cs="Times New Roman"/>
          <w:sz w:val="24"/>
          <w:szCs w:val="24"/>
          <w:vertAlign w:val="superscript"/>
        </w:rPr>
      </w:pPr>
      <w:r>
        <w:rPr>
          <w:rFonts w:ascii="Times New Roman" w:hAnsi="Times New Roman" w:cs="Times New Roman"/>
          <w:sz w:val="24"/>
          <w:szCs w:val="24"/>
        </w:rPr>
        <w:t>Rathnayake R.M.D.L.D</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Weligamage S.S</w:t>
      </w:r>
      <w:r>
        <w:rPr>
          <w:rFonts w:ascii="Times New Roman" w:hAnsi="Times New Roman" w:cs="Times New Roman"/>
          <w:sz w:val="24"/>
          <w:szCs w:val="24"/>
          <w:vertAlign w:val="superscript"/>
        </w:rPr>
        <w:t>2</w:t>
      </w:r>
    </w:p>
    <w:p>
      <w:pPr>
        <w:spacing w:after="120"/>
        <w:rPr>
          <w:rFonts w:ascii="Times New Roman" w:hAnsi="Times New Roman" w:cs="Times New Roman"/>
          <w:sz w:val="20"/>
          <w:szCs w:val="20"/>
        </w:rPr>
      </w:pPr>
      <w:r>
        <mc:AlternateContent>
          <mc:Choice Requires="wpg">
            <w:drawing>
              <wp:anchor distT="0" distB="0" distL="114300" distR="114300" simplePos="0" relativeHeight="251673600" behindDoc="0" locked="0" layoutInCell="1" allowOverlap="1">
                <wp:simplePos x="0" y="0"/>
                <wp:positionH relativeFrom="page">
                  <wp:posOffset>888365</wp:posOffset>
                </wp:positionH>
                <wp:positionV relativeFrom="page">
                  <wp:posOffset>839470</wp:posOffset>
                </wp:positionV>
                <wp:extent cx="4762500" cy="6350"/>
                <wp:effectExtent l="0" t="0" r="0" b="0"/>
                <wp:wrapTopAndBottom/>
                <wp:docPr id="570" name="Group 570"/>
                <wp:cNvGraphicFramePr/>
                <a:graphic xmlns:a="http://schemas.openxmlformats.org/drawingml/2006/main">
                  <a:graphicData uri="http://schemas.microsoft.com/office/word/2010/wordprocessingGroup">
                    <wpg:wgp>
                      <wpg:cNvGrpSpPr/>
                      <wpg:grpSpPr>
                        <a:xfrm>
                          <a:off x="0" y="0"/>
                          <a:ext cx="4762246" cy="6096"/>
                          <a:chOff x="0" y="0"/>
                          <a:chExt cx="4762246" cy="6096"/>
                        </a:xfrm>
                      </wpg:grpSpPr>
                      <wps:wsp>
                        <wps:cNvPr id="719" name="Shape 719"/>
                        <wps:cNvSpPr/>
                        <wps:spPr>
                          <a:xfrm>
                            <a:off x="0" y="0"/>
                            <a:ext cx="4762246" cy="9144"/>
                          </a:xfrm>
                          <a:custGeom>
                            <a:avLst/>
                            <a:gdLst/>
                            <a:ahLst/>
                            <a:cxnLst/>
                            <a:rect l="0" t="0" r="0" b="0"/>
                            <a:pathLst>
                              <a:path w="4762246" h="9144">
                                <a:moveTo>
                                  <a:pt x="0" y="0"/>
                                </a:moveTo>
                                <a:lnTo>
                                  <a:pt x="4762246" y="0"/>
                                </a:lnTo>
                                <a:lnTo>
                                  <a:pt x="47622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9.95pt;margin-top:66.1pt;height:0.5pt;width:375pt;mso-position-horizontal-relative:page;mso-position-vertical-relative:page;mso-wrap-distance-bottom:0pt;mso-wrap-distance-top:0pt;z-index:251673600;mso-width-relative:page;mso-height-relative:page;" coordsize="4762246,6096" o:gfxdata="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vQ9IDYAAAACwEAAA8AAAAA&#10;AAAAAQAgAAAAIgAAAGRycy9kb3ducmV2LnhtbFBLAQIUABQAAAAIAIdO4kBKOwRhTQIAANoFAAAO&#10;AAAAAAAAAAEAIAAAACcBAABkcnMvZTJvRG9jLnhtbFBLBQYAAAAABgAGAFkBAADmBQAAAAA=&#10;">
                <o:lock v:ext="edit" aspectratio="f"/>
                <v:shape id="Shape 719" o:spid="_x0000_s1026" o:spt="100" style="position:absolute;left:0;top:0;height:9144;width:4762246;" fillcolor="#000000" filled="t" stroked="f" coordsize="4762246,9144" o:gfxdata="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Gz9S8AAAA&#10;3AAAAA8AAAAAAAAAAQAgAAAAIgAAAGRycy9kb3ducmV2LnhtbFBLAQIUABQAAAAIAIdO4kAzLwWe&#10;OwAAADkAAAAQAAAAAAAAAAEAIAAAAAsBAABkcnMvc2hhcGV4bWwueG1sUEsFBgAAAAAGAAYAWwEA&#10;ALUDAAAAAA==&#10;" path="m0,0l4762246,0,4762246,9144,0,9144,0,0e">
                  <v:fill on="t" focussize="0,0"/>
                  <v:stroke on="f" weight="0pt" miterlimit="1" joinstyle="miter"/>
                  <v:imagedata o:title=""/>
                  <o:lock v:ext="edit" aspectratio="f"/>
                </v:shape>
                <w10:wrap type="topAndBottom"/>
              </v:group>
            </w:pict>
          </mc:Fallback>
        </mc:AlternateContent>
      </w: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Finance, University of Kelaniya, Sri Lanka </w:t>
      </w:r>
      <w:r>
        <w:rPr>
          <w:rFonts w:hint="default" w:ascii="Times New Roman" w:hAnsi="Times New Roman" w:cs="Times New Roman"/>
          <w:sz w:val="20"/>
          <w:szCs w:val="20"/>
          <w:lang w:val="en-GB"/>
        </w:rPr>
        <w:t>,</w:t>
      </w:r>
      <w:r>
        <w:fldChar w:fldCharType="begin"/>
      </w:r>
      <w:r>
        <w:instrText xml:space="preserve"> HYPERLINK "mailto:dushyantha619@gmail.com" </w:instrText>
      </w:r>
      <w:r>
        <w:fldChar w:fldCharType="separate"/>
      </w:r>
      <w:r>
        <w:rPr>
          <w:rStyle w:val="18"/>
          <w:rFonts w:ascii="Times New Roman" w:hAnsi="Times New Roman" w:cs="Times New Roman"/>
          <w:sz w:val="20"/>
          <w:szCs w:val="20"/>
        </w:rPr>
        <w:t>dushyantha619@gmail.com</w:t>
      </w:r>
      <w:r>
        <w:rPr>
          <w:rStyle w:val="18"/>
          <w:rFonts w:ascii="Times New Roman" w:hAnsi="Times New Roman" w:cs="Times New Roman"/>
          <w:sz w:val="20"/>
          <w:szCs w:val="20"/>
        </w:rPr>
        <w:fldChar w:fldCharType="end"/>
      </w:r>
    </w:p>
    <w:p>
      <w:pPr>
        <w:jc w:val="center"/>
        <w:rPr>
          <w:rFonts w:ascii="Times New Roman" w:hAnsi="Times New Roman" w:cs="Times New Roman"/>
          <w:sz w:val="24"/>
          <w:szCs w:val="24"/>
          <w:vertAlign w:val="superscript"/>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 xml:space="preserve">Department of Finance, University of Kelaniya, Sri Lanka </w:t>
      </w:r>
      <w:r>
        <w:rPr>
          <w:rFonts w:hint="default" w:ascii="Times New Roman" w:hAnsi="Times New Roman" w:cs="Times New Roman"/>
          <w:sz w:val="20"/>
          <w:szCs w:val="20"/>
          <w:lang w:val="en-GB"/>
        </w:rPr>
        <w:t>,</w:t>
      </w:r>
      <w:r>
        <w:fldChar w:fldCharType="begin"/>
      </w:r>
      <w:r>
        <w:instrText xml:space="preserve"> HYPERLINK "mailto:susima@kln.ac.lk" </w:instrText>
      </w:r>
      <w:r>
        <w:fldChar w:fldCharType="separate"/>
      </w:r>
      <w:r>
        <w:rPr>
          <w:rStyle w:val="18"/>
          <w:rFonts w:ascii="Times New Roman" w:hAnsi="Times New Roman" w:cs="Times New Roman"/>
          <w:sz w:val="20"/>
          <w:szCs w:val="20"/>
        </w:rPr>
        <w:t>susima@kln.ac.lk</w:t>
      </w:r>
      <w:r>
        <w:rPr>
          <w:rStyle w:val="18"/>
          <w:rFonts w:ascii="Times New Roman" w:hAnsi="Times New Roman" w:cs="Times New Roman"/>
          <w:sz w:val="20"/>
          <w:szCs w:val="20"/>
        </w:rPr>
        <w:fldChar w:fldCharType="end"/>
      </w:r>
      <w:bookmarkStart w:id="20" w:name="_GoBack"/>
      <w:bookmarkEnd w:id="20"/>
    </w:p>
    <w:p>
      <w:pPr>
        <w:jc w:val="center"/>
        <w:rPr>
          <w:rFonts w:ascii="Times New Roman" w:hAnsi="Times New Roman" w:cs="Times New Roman"/>
          <w:b/>
          <w:bCs/>
          <w:sz w:val="24"/>
          <w:szCs w:val="24"/>
        </w:rPr>
      </w:pPr>
      <w:r>
        <w:rPr>
          <w:rFonts w:ascii="Times New Roman" w:hAnsi="Times New Roman" w:cs="Times New Roman"/>
          <w:b/>
          <w:bCs/>
          <w:sz w:val="24"/>
          <w:szCs w:val="24"/>
        </w:rPr>
        <w:t>Abstract</w:t>
      </w:r>
    </w:p>
    <w:p>
      <w:pPr>
        <w:spacing w:line="276" w:lineRule="auto"/>
        <w:jc w:val="both"/>
        <w:rPr>
          <w:rFonts w:ascii="Times New Roman" w:hAnsi="Times New Roman" w:cs="Times New Roman"/>
        </w:rPr>
      </w:pPr>
      <w:r>
        <w:rPr>
          <w:rFonts w:ascii="Times New Roman" w:hAnsi="Times New Roman" w:cs="Times New Roman"/>
        </w:rPr>
        <w:t>The</w:t>
      </w:r>
      <w:r>
        <w:rPr>
          <w:rFonts w:ascii="Times New Roman" w:hAnsi="Times New Roman" w:cs="Times New Roman"/>
          <w:b/>
          <w:bCs/>
        </w:rPr>
        <w:t xml:space="preserve"> </w:t>
      </w:r>
      <w:r>
        <w:rPr>
          <w:rFonts w:ascii="Times New Roman" w:hAnsi="Times New Roman" w:cs="Times New Roman"/>
        </w:rPr>
        <w:t>purpose of</w:t>
      </w:r>
      <w:r>
        <w:rPr>
          <w:rFonts w:ascii="Times New Roman" w:hAnsi="Times New Roman" w:cs="Times New Roman"/>
          <w:b/>
          <w:bCs/>
        </w:rPr>
        <w:t xml:space="preserve"> </w:t>
      </w:r>
      <w:r>
        <w:rPr>
          <w:rFonts w:ascii="Times New Roman" w:hAnsi="Times New Roman" w:cs="Times New Roman"/>
        </w:rPr>
        <w:t xml:space="preserve">this study is to contribute to the ongoing discussion about Sri Lankan bank contribution toward sustainable development Goals (SDGs). This research aims to identify the scope of the contribution and SDGs approach among banks. A score is derived from four variables using the literature to identify the Sri Lankan banks' contribution to the SDGs and the extent of reporting about SDGs. The information mentioned by the banks about sustainable development in the non-financial reports has been considered through manual content analysis. The results of the study revealed that banks are paying more attention to SDGs that benefit the business. Different approaches of banks to SDGs can be seen. The study's findings confirm that there are differences in the attitudes of the banks toward the SDGs. This study is useful for bank managers and decision-makers to develop policies to support organisations in contributing to the SDGs and for taking strategic advantage of implementing the SDGs. </w:t>
      </w:r>
    </w:p>
    <w:p>
      <w:pPr>
        <w:spacing w:line="240" w:lineRule="auto"/>
        <w:jc w:val="both"/>
        <w:rPr>
          <w:rFonts w:ascii="Times New Roman" w:hAnsi="Times New Roman" w:cs="Times New Roman"/>
          <w:b/>
          <w:bCs/>
        </w:rPr>
      </w:pPr>
      <w:r>
        <w:rPr>
          <w:rFonts w:ascii="Times New Roman" w:hAnsi="Times New Roman" w:cs="Times New Roman"/>
          <w:b/>
          <w:bCs/>
        </w:rPr>
        <w:t>Keywords:</w:t>
      </w:r>
      <w:r>
        <w:rPr>
          <w:rFonts w:ascii="Times New Roman" w:hAnsi="Times New Roman" w:cs="Times New Roman"/>
          <w:i/>
          <w:iCs/>
        </w:rPr>
        <w:t xml:space="preserve"> Non-financial Disclosure, SDG reporting, Sustainable Development Goals, Sri Lankan banks, 2030 agenda</w:t>
      </w:r>
    </w:p>
    <w:bookmarkEnd w:id="1"/>
    <w:p>
      <w:pPr>
        <w:rPr>
          <w:rFonts w:ascii="Times New Roman" w:hAnsi="Times New Roman" w:cs="Times New Roman" w:eastAsiaTheme="majorEastAsia"/>
          <w:b/>
          <w:bCs/>
          <w:sz w:val="28"/>
          <w:szCs w:val="28"/>
        </w:rPr>
      </w:pPr>
    </w:p>
    <w:p>
      <w:pPr>
        <w:pStyle w:val="2"/>
        <w:numPr>
          <w:ilvl w:val="0"/>
          <w:numId w:val="0"/>
        </w:numPr>
        <w:spacing w:after="240"/>
        <w:ind w:left="432" w:hanging="432"/>
        <w:rPr>
          <w:sz w:val="24"/>
          <w:szCs w:val="24"/>
        </w:rPr>
      </w:pPr>
      <w:bookmarkStart w:id="2" w:name="_Toc128087460"/>
      <w:r>
        <w:rPr>
          <w:sz w:val="24"/>
          <w:szCs w:val="24"/>
        </w:rPr>
        <w:t>Introduction</w:t>
      </w:r>
      <w:bookmarkEnd w:id="2"/>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Balancing the dimensions of economic, social and environmental sustainable development, 17 interrelated SDG goals have been established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10.1163/15718093-12341375","ISSN":"15718093","PMID":"26665697","author":[{"dropping-particle":"","family":"Baeyens","given":"An","non-dropping-particle":"","parse-names":false,"suffix":""},{"dropping-particle":"","family":"Goffin","given":"Tom","non-dropping-particle":"","parse-names":false,"suffix":""}],"container-title":"European Journal of Health Law","id":"ITEM-1","issue":"5","issued":{"date-parts":[["2015"]]},"page":"508-516","title":"European Court of Justice","type":"article-journal","volume":"22"},"uris":["http://www.mendeley.com/documents/?uuid=5a2945e2-7fc0-4e96-9466-973f4a3be946"]}],"mendeley":{"formattedCitation":"(Baeyens &amp; Goffin, 2015)","plainTextFormattedCitation":"(Baeyens &amp; Goffin, 2015)","previouslyFormattedCitation":"(Baeyens &amp; Goffin,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(Baeyens &amp; Goffin, 2015)</w:t>
      </w:r>
      <w:r>
        <w:rPr>
          <w:rFonts w:ascii="Times New Roman" w:hAnsi="Times New Roman" w:cs="Times New Roman"/>
          <w:sz w:val="24"/>
          <w:szCs w:val="24"/>
        </w:rPr>
        <w:fldChar w:fldCharType="end"/>
      </w:r>
      <w:r>
        <w:rPr>
          <w:rFonts w:ascii="Times New Roman" w:hAnsi="Times New Roman" w:cs="Times New Roman"/>
          <w:sz w:val="24"/>
          <w:szCs w:val="24"/>
        </w:rPr>
        <w:t xml:space="preserve">. Plan of action for people, the planet, prosperity, peace and global partnership for sustainable development are the focus of the 2030 agenda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10.1163/15718093-12341375","ISSN":"15718093","PMID":"26665697","author":[{"dropping-particle":"","family":"Baeyens","given":"An","non-dropping-particle":"","parse-names":false,"suffix":""},{"dropping-particle":"","family":"Goffin","given":"Tom","non-dropping-particle":"","parse-names":false,"suffix":""}],"container-title":"European Journal of Health Law","id":"ITEM-1","issue":"5","issued":{"date-parts":[["2015"]]},"page":"508-516","title":"European Court of Justice","type":"article-journal","volume":"22"},"uris":["http://www.mendeley.com/documents/?uuid=5a2945e2-7fc0-4e96-9466-973f4a3be946"]}],"mendeley":{"formattedCitation":"(Baeyens &amp; Goffin, 2015)","plainTextFormattedCitation":"(Baeyens &amp; Goffin, 2015)","previouslyFormattedCitation":"(Baeyens &amp; Goffin,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(Baeyens &amp; Goffin, 2015)</w:t>
      </w:r>
      <w:r>
        <w:rPr>
          <w:rFonts w:ascii="Times New Roman" w:hAnsi="Times New Roman" w:cs="Times New Roman"/>
          <w:sz w:val="24"/>
          <w:szCs w:val="24"/>
        </w:rPr>
        <w:fldChar w:fldCharType="end"/>
      </w:r>
      <w:r>
        <w:rPr>
          <w:rFonts w:ascii="Times New Roman" w:hAnsi="Times New Roman" w:cs="Times New Roman"/>
          <w:sz w:val="24"/>
          <w:szCs w:val="24"/>
        </w:rPr>
        <w:t xml:space="preserve">. Most corporate decisions have an impact on stakeholders, including stockholders, creditors, debtors, employees, and the general public, in one way or another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{"citationItems":[{"id":"ITEM-1","itemData":{"DOI":"10.1177/097215091001100205","ISSN":"09721509","abstract":"This article attempts to examine the impact of corporate social responsibility (CSR)on corporate financial performance (CFP)in terms of profitability and growth after controlling for the effect of other variables on financial performance. Secondary data on CSR based on 93 companies operating in India have been analyzed by applying content analysis of annual reports for the year 2005-06 and individual websites of the companies. For CFP and control variables, secondary data have been collected for seven-year period from 1999-2000 to 2005-06 from Prowess, electronic database developed by Centre for Monitoring Indian Economy (CMIE), Mumbai. Statistical tests like factor analysis and multiple regression analysis have been applied. The results indicate significant positive impact of CSR on corporate profitability and insignificant positive impact on corporate growth. The present study is helpful for managers in considering the positive impact of CSR on corporate profitability while taking decisions about investing in CSR areas.","author":[{"dropping-particle":"","family":"Kapoor","given":"Shveta","non-dropping-particle":"","parse-names":false,"suffix":""},{"dropping-particle":"","family":"Sandhu","given":"H. S.","non-dropping-particle":"","parse-names":false,"suffix":""}],"container-title":"Global Business Review","id":"ITEM-1","issue":"2","issued":{"date-parts":[["2010"]]},"page":"185-208","title":"Does it pay to be socially responsible? An empirical examination of impact of corporate social responsibility on financial performance","type":"article-journal","volume":"11"},"uris":["http://www.mendeley.com/documents/?uuid=0d45adaf-8a50-4bec-8eab-fd71fb4bd90f"]}],"mendeley":{"formattedCitation":"(Kapoor &amp; Sandhu, 2010)","plainTextFormattedCitation":"(Kapoor &amp; Sandhu, 2010)","previouslyFormattedCitation":"(Kapoor &amp; Sandhu,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(Kapoor &amp; Sandhu, 2010)</w:t>
      </w:r>
      <w:r>
        <w:rPr>
          <w:rFonts w:ascii="Times New Roman" w:hAnsi="Times New Roman" w:cs="Times New Roman"/>
          <w:sz w:val="24"/>
          <w:szCs w:val="24"/>
        </w:rPr>
        <w:fldChar w:fldCharType="end"/>
      </w:r>
      <w:r>
        <w:rPr>
          <w:rFonts w:ascii="Times New Roman" w:hAnsi="Times New Roman" w:cs="Times New Roman"/>
          <w:sz w:val="24"/>
          <w:szCs w:val="24"/>
        </w:rPr>
        <w:t xml:space="preserve">. When achieving the SDGs, financial institutions can play a critical role.  However, in the sustainable development agenda implementation, altering early-stage business mindsets toward new sustainability practices, technology, and business models is a significant problem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{"citationItems":[{"id":"ITEM-1","itemData":{"DOI":"10.1016/S0140-6736(12)60685-0","ISSN":"1474547X","PMID":"22682467","author":[{"dropping-particle":"","family":"Sachs","given":"Jeffrey D.","non-dropping-particle":"","parse-names":false,"suffix":""}],"container-title":"The Lancet","id":"ITEM-1","issue":"9832","issued":{"date-parts":[["2012"]]},"page":"2206-2211","title":"From millennium development goals to sustainable development goals","type":"article-journal","volume":"379"},"uris":["http://www.mendeley.com/documents/?uuid=c663f81a-ca4b-4566-af2b-fc117ade00b7"]}],"mendeley":{"formattedCitation":"(Sachs, 2012)","plainTextFormattedCitation":"(Sachs, 2012)","previouslyFormattedCitation":"(Sachs,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(Sachs,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Looking at the Asia-Pacific region at the beginning of the decade of action for sustainable development, none of the 17 SDGs are on track to be achieved by 2030 and  rapid progress in the near future is emerging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{"citationItems":[{"id":"ITEM-1","itemData":{"ISBN":"978-92-1-120807-8","abstract":"This report assesses progress in the implementation of the Sustainable Development Goals (SDGs) and targets in Asia and the Pacific. The report also examines regional and subregional disparities among countries and among income groups in progress towards the SDGs and their targets. Despite major gaps in data and indicators, the report identifies clear patterns of where progress is being made, ones where acceleration is needed to meet the SDGs by 2030 and ones where the region is moving in the wrong direction. The report is an invaluable resource for all stakeholders involved in the prioritisation, planning, implementation and follow up and review of the SDGs in Asia and the Pacific.","author":[{"dropping-particle":"","family":"ESCAP","given":"","non-dropping-particle":"","parse-names":false,"suffix":""}],"container-title":"United Nations Publication","id":"ITEM-1","issued":{"date-parts":[["2020"]]},"number-of-pages":"73","title":"Asia and the Pacific SDG progress report","type":"book"},"uris":["http://www.mendeley.com/documents/?uuid=b8bf25c4-618e-410c-a89b-be00beb27e8d"]}],"mendeley":{"formattedCitation":"(ESCAP, 2020)","plainTextFormattedCitation":"(ESCAP, 2020)","previouslyFormattedCitation":"(ESCAP,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(ESCAP, 2020)</w:t>
      </w:r>
      <w:r>
        <w:rPr>
          <w:rFonts w:ascii="Times New Roman" w:hAnsi="Times New Roman" w:cs="Times New Roman"/>
          <w:sz w:val="24"/>
          <w:szCs w:val="24"/>
        </w:rPr>
        <w:fldChar w:fldCharType="end"/>
      </w:r>
      <w:r>
        <w:rPr>
          <w:rFonts w:ascii="Times New Roman" w:hAnsi="Times New Roman" w:cs="Times New Roman"/>
          <w:sz w:val="24"/>
          <w:szCs w:val="24"/>
        </w:rPr>
        <w:t xml:space="preserve">.  Previous research identified different kinds of contributions of banks on SDGs and factors seem to differentiate the bank approaches on SDGs (Mitchell et al., 1997, Heithaus et al., 2018) and banks appear to invest a lot of cash and energy into socially capable exercises.  However, clear experimental attempts cannot be identified in the current context in Sri Lanka with relate with SDGs.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considering the overall situation, it is clear that the "scope" of Sri Lankan banks' contribution to SDGs and actors seem to differentiate the bank approaches on SDGs is still disputed and open for further discussion in the future. </w:t>
      </w:r>
      <w:r>
        <w:rPr>
          <w:rFonts w:ascii="Times New Roman" w:hAnsi="Times New Roman" w:cs="Times New Roman"/>
          <w:sz w:val="24"/>
          <w:szCs w:val="24"/>
          <w:lang w:eastAsia="ja-JP" w:bidi="ta-IN"/>
        </w:rPr>
        <w:t>Therefore, the research questions of the current research study are, what is the level of contribution of banks in Sri Lanka for sustainable development goals? Is that enough? Does the contribution it makes cover all sectors? And what factors affect changes in banks' contributions? From that, which SDGs are Sri Lankan banks' non-financial reporting activities directed toward? How do Sri Lankan banks contribute to the SDGs? What contextual factors appear to distinguish Sri Lankan banks' contributions to the SDGs?  Two objectives are highlighted in the existing study as;</w:t>
      </w:r>
      <w:r>
        <w:rPr>
          <w:rFonts w:ascii="Times New Roman" w:hAnsi="Times New Roman" w:cs="Times New Roman"/>
          <w:sz w:val="24"/>
          <w:szCs w:val="24"/>
        </w:rPr>
        <w:t xml:space="preserve"> examine the "scope" of Sri Lankan banks' contribution to the SDGs and examine the factors that tend to differentiate the approaches towards SDGs among Sri Lankan banks. </w:t>
      </w:r>
    </w:p>
    <w:p>
      <w:pPr>
        <w:pStyle w:val="2"/>
        <w:numPr>
          <w:ilvl w:val="0"/>
          <w:numId w:val="0"/>
        </w:numPr>
        <w:spacing w:after="240" w:line="360" w:lineRule="auto"/>
        <w:ind w:left="432" w:hanging="432"/>
        <w:rPr>
          <w:rFonts w:cs="Times New Roman"/>
          <w:sz w:val="24"/>
          <w:szCs w:val="24"/>
        </w:rPr>
      </w:pPr>
      <w:bookmarkStart w:id="3" w:name="_Toc128087469"/>
      <w:r>
        <w:rPr>
          <w:rFonts w:cs="Times New Roman"/>
          <w:sz w:val="24"/>
          <w:szCs w:val="24"/>
        </w:rPr>
        <w:t>Review of Literature</w:t>
      </w:r>
      <w:bookmarkEnd w:id="3"/>
    </w:p>
    <w:p>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{"citationItems":[{"id":"ITEM-1","itemData":{"DOI":"https://doi.org/10.1108/AAAJ-07-2013-1415","abstract":"Purpose The paper seeks to adopt an institutional view of legitimacy to examine how a sample of French companies reacted to the introduction of the “New Economic Regulations” in French law in 2001 requiring that publicly listed companies disclose environmental information. Design/methodology/approach The approach used in the paper is both quantitative and qualitative. A content analysis of environmental disclosure provided in annual reports, environmental reports and web sites by 26 French companies listed in the CAC 40 is performed throughout the period 2001-2011. Findings The findings of this study show a significant and enduring improvement in the quality and quantity of environmental disclosure from 2001 to 2011. Even in the absence of penalties for non-compliance, the NRE law stimulated a stark and positive lasting change in the way that French companies account for their environmental information. These findings are consistent with the institutional view of legitimacy theory whereby legislation provides corporate managers with a representation of relevant audiences' perceptions about social and environmental reporting, prompting them to comply with the law to ensure organizational legitimacy. Originality/value Social and environmental reporting studies generally adopt a strategic view of legitimacy to examine how organizations use social and environmental reporting to respond strategically to legitimacy threats. This study provides early empirical evidence about the relevance of institutional legitimacy theory in explaining environmental reporting.","author":[{"dropping-particle":"","family":"Mohamed Chelli, Sylvain Durocher","given":"Jacques Richard","non-dropping-particle":"","parse-names":false,"suffix":""}],"container-title":"Accounting, Auditing &amp; Accountability Journal","id":"ITEM-1","issue":"2","issued":{"date-parts":[["2014"]]},"title":"France's new economic regulations: insights from institutional legitimacy theory","type":"article-journal","volume":"27"},"uris":["http://www.mendeley.com/documents/?uuid=ef3e32bd-1f95-4852-9835-356a0ef9b0fd","http://www.mendeley.com/documents/?uuid=c742841d-8c10-4a8e-b9dc-33fa1f3adfa2"]}],"mendeley":{"formattedCitation":"(Mohamed Chelli, Sylvain Durocher, 2014)","manualFormatting":"Chelli et al. (2014)","plainTextFormattedCitation":"(Mohamed Chelli, Sylvain Durocher, 2014)","previouslyFormattedCitation":"(Mohamed Chelli, Sylvain Durocher,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Chelli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considered legitimacy as a strategic management tool that managers try to capture from their surroundings by making symbolic disclosures about the social and environmental conditions. According to the legitimacy theory, businesses use social and environmental reporting to increase, preserve, or restore their credibility. A valuable perspective for corporate social and environmental disclosures may come from legitimacy theory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{"citationItems":[{"id":"ITEM-1","itemData":{"DOI":"http://dx.doi.org/10.12785/IJBSA/020104","abstract":"Legitimacy theory is one of the most discussed theories to explain the phenomenon of voluntary social and environmental disclosures in corporate communication. Consistent with the notion of legitimacy theory, companies seek to gain, maintain or repair their legitimacy by using social and environmental reporting. Legitimacy theory may provide useful insights for corporate social and environmental disclosures. However, there are a number of gaps in the literature dealing with legitimacy theory, which have not been addressed, such as the development of a general framework of legitimacy theory. The paper is mainly concerned with reviewing the literature of legitimacy theory in an attempt to identify the necessary characteristics of this theory. There is a lack of research into framework of legitimacy theory. The paper is mainly concerned with a bringing some coherence to the framework of legitimacy theory and corporate environmental practices. The understanding of the nature of such theory can help in explaining corporate environmental practices.","author":[{"dropping-particle":"","family":"Mousa, Gehan. A.; Hassan","given":"Naser T.","non-dropping-particle":"","parse-names":false,"suffix":""}],"container-title":"University of Bahrain Scientific Journals","id":"ITEM-1","issue":"1","issued":{"date-parts":[["2015"]]},"title":"Legitimacy Theory and Environmental Practices: Short Notes","type":"article-journal","volume":"2"},"uris":["http://www.mendeley.com/documents/?uuid=6334fce9-fac4-4405-8ef1-35723817e25b","http://www.mendeley.com/documents/?uuid=6be46520-beef-47b4-97e3-af8bd401021e"]}],"mendeley":{"formattedCitation":"(Mousa, Gehan. A.; Hassan, 2015)","manualFormatting":"(Mousa et al., 2015)","plainTextFormattedCitation":"(Mousa, Gehan. A.; Hassan, 2015)","previouslyFormattedCitation":"(Mousa, Gehan. A.; Hassan,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(Mousa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{"citationItems":[{"id":"ITEM-1","itemData":{"DOI":"https://doi.org/10.1287/orsc.1040.0066","abstract":"Stakeholder theory begins with the assumption that values are necessarily and explicitly a part of doing business. It asks managers to articulate the shared sense of the value they create, and what brings its core stakeholders together. It also pushes managers to be clear about how they want to do business, specifically what kinds of relationships they want and need to create with their stakeholders to deliver on their purpose. This paper offers a response to Sundaram and Inkpen's article “The Corporate Objective Revisited” by clarifying misconceptions about stakeholder theory and concluding that truth and freedom are best served by seeing business and ethics as connected.","author":[{"dropping-particle":"","family":"R. Edward Freeman, Andrew C. Wicks","given":"Bidhan Parmar","non-dropping-particle":"","parse-names":false,"suffix":""}],"id":"ITEM-1","issued":{"date-parts":[["2004"]]},"title":"Stakeholder Theory and “The Corporate Objective Revisited”","type":"article-journal","volume":"15"},"uris":["http://www.mendeley.com/documents/?uuid=dcce19eb-a9d3-4f23-82be-f483dc4eff7b","http://www.mendeley.com/documents/?uuid=c75701f8-80b1-48ef-a568-3608c21cc7ba"]}],"mendeley":{"formattedCitation":"(R. Edward Freeman, Andrew C. Wicks, 2004)","manualFormatting":"Freeman et al. (2004)","plainTextFormattedCitation":"(R. Edward Freeman, Andrew C. Wicks, 2004)","previouslyFormattedCitation":"(R. Edward Freeman, Andrew C. Wicks,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Freeman et al. (2004)</w:t>
      </w:r>
      <w:r>
        <w:rPr>
          <w:rFonts w:ascii="Times New Roman" w:hAnsi="Times New Roman" w:cs="Times New Roman"/>
          <w:sz w:val="24"/>
          <w:szCs w:val="24"/>
        </w:rPr>
        <w:fldChar w:fldCharType="end"/>
      </w:r>
      <w:r>
        <w:rPr>
          <w:rFonts w:ascii="Times New Roman" w:hAnsi="Times New Roman" w:cs="Times New Roman"/>
          <w:sz w:val="24"/>
          <w:szCs w:val="24"/>
        </w:rPr>
        <w:t xml:space="preserve">, the foundation of stakeholder theory highlighted that values are an essential and explicit component of conducting business. Managers are prompted to describe the primary stakeholders' shared understanding of the value they generate.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{"citationItems":[{"id":"ITEM-1","itemData":{"author":[{"dropping-particle":"","family":"Robert Phillips","given":"","non-dropping-particle":"","parse-names":false,"suffix":""}],"id":"ITEM-1","issued":{"date-parts":[["2003"]]},"number-of-pages":"216","title":"Stakeholder Theory and Organizational Ethics","type":"book"},"uris":["http://www.mendeley.com/documents/?uuid=87e425a0-6e57-4aa0-af49-c4dac38f4eb7","http://www.mendeley.com/documents/?uuid=f27864b2-54a8-4c7f-a9ca-0d51aa9f6f6f"]}],"mendeley":{"formattedCitation":"(Robert Phillips, 2003)","manualFormatting":"Phillips (2003)","plainTextFormattedCitation":"(Robert Phillips, 2003)","previouslyFormattedCitation":"(Robert Phillips, 2003)"},"properties":{"noteIndex":0},"schema":"https://github.com/citation-style-language/schema/raw/master/csl-citation.json"}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Phillips (2003)</w:t>
      </w:r>
      <w:r>
        <w:rPr>
          <w:rFonts w:ascii="Times New Roman" w:hAnsi="Times New Roman" w:cs="Times New Roman"/>
          <w:sz w:val="24"/>
          <w:szCs w:val="24"/>
        </w:rPr>
        <w:fldChar w:fldCharType="end"/>
      </w:r>
      <w:r>
        <w:rPr>
          <w:rFonts w:ascii="Times New Roman" w:hAnsi="Times New Roman" w:cs="Times New Roman"/>
          <w:sz w:val="24"/>
          <w:szCs w:val="24"/>
        </w:rPr>
        <w:t xml:space="preserve"> defined that stakeholder theory's conceptual breadth may be responsible for a significant portion of its power.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World Conservation Strategy first widely publicized broad definition of "sustainable development"  and  then,  many leaders concern on the environment and development,  comprehensive and multidimensional view of development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{"citationItems":[{"id":"ITEM-1","itemData":{"abstract":"This paper attempts to analyze sustainability The suggested implications for policy are concepts, such as sustainable growth, sustainable that conventional environmental policies may development and sustainable resource use, in also improve sustainability, making a separate terms of the conventional neoclassical theory of sustainability criterion redundant in practice; and economics. It then tries to analyze why free that politically difficult short-term sacrifices may market forces may not achieve sustainability, be needed to reach optimal and sustainable and how policy intervention may help or hinder growth paths. \"Conventional environmental sustainability. policies\" need not always mean making the Several different definitions of sustainability polluter pay for externalities. More important is are reviewed. Most require that the 'quality of that property rights over the environment are life\" should not decline over the long-term first defined and enforced, if this is possible. future. Many can also be interpreted in terms of A simple model with renewable resources maintaining an economy's capital stock. shows how population growth can threaten However, a relevant definition of capital stock sustainability, and how poverty and still has to be chosen, and this means judging environmental degradation can be linked, how significant, essential or substitutable are the establishing the case for development assistance. various natural and man-made resource inputs to The role of a more equal income distribution as the economy's production processes. part of sustainable development is briefly A number of simple models of the economy discussed. Giving environmental property rights and the environment are used to explore these to the poor may both reduce poverty and issues. One model uses comparative static improve the environment. This is true whether analysis to explain why different tradeoffs may the poor are the polluters (by being so poor that be made between consumption and they degrade their own land and cause floods, environmental quality at different stages of siltation, etc elsewhere), or the pollutees (by economic growth. Other models use optimal suffering air and water pollution, in cities). control theory to examine sustainability over If improved environmental policy alone is time in the context of both non-renewable and not enough to achieve sustainability, so that a renewable resources. Such models may not separate explicit sustainability policy…","author":[{"dropping-particle":"","family":"John Pezzey","given":"","non-dropping-particle":"","parse-names":false,"suffix":""}],"container-title":"WORLD BANK ENVIRONMENT PAPER NUMBER 2","id":"ITEM-1","issued":{"date-parts":[["1992"]]},"page":"92","title":"Sustainable Development Concepts, An Economic Analysis","type":"article-journal"},"uris":["http://www.mendeley.com/documents/?uuid=731f6082-45de-43cc-b224-29cf099e47d2","http://www.mendeley.com/documents/?uuid=0d6f1738-1369-4e44-a354-85f963dd0bf1"]}],"mendeley":{"formattedCitation":"(John Pezzey, 1992)","manualFormatting":"(Pezzey, 1992)","plainTextFormattedCitation":"(John Pezzey, 1992)","previouslyFormattedCitation":"(John Pezzey, 1992)"},"properties":{"noteIndex":0},"schema":"https://github.com/citation-style-language/schema/raw/master/csl-citation.json"}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(Pezzey, 1992,</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{"citationItems":[{"id":"ITEM-1","itemData":{"DOI":"https://doi.org/10.1016/j.marpol.2017.09.019","abstract":"The Sustainable Development Goals or SDGs [44] are an ambitious step towards sustainable development, taking a much broader view of sustainability than ever achieved previously, yet practical challenges remain, including how to implement change. The aims of this research were to determine how an influential aquaculture company in Australia - Tassal, Tasmania's largest salmon aquaculture company - perceived the SDGs, and to ascertain the motivations and barriers for Tassal to work towards implementing the goals. Interviews were conducted with leaders, employees and external business partners. Tassal was not aware of the SDGs prior to this project, but were open to considering implementing them in their current sustainability practices. The survey responses were analysed using the Values-Rules-Knowledge (vrk) framework of decision making. Key findings were: 1) corporate and personal values were the key component driving Tassal's positive responses to the SDGs; 2) awareness of the SDGs resulted in Tassal recognising the potential gains from engaging with some of the seemingly less aquaculture-related goals (such as health and wellbeing). These findings demonstrate that businesses can fruitfully engage with the SDGs, even without government requirements or societal expectations, if they are prepared to broaden their interpretation of business sustainability and be reflective about their values. The vrk model is a potentially useful addition to current SDG and sustainability tools, such as those of the UN Global Compact, as a way to diagnose organisational barriers to adopting practices aligned with the SDGs. An emerging area of importance to social, economic and environmental sustainability – social license – was also identified as implicit in many, but not explicit in any of the SDGs.","author":[{"dropping-particle":"","family":"Aysha Fleming, Russell M.Wise, Heidi Hansen","given":"Linda Sams","non-dropping-particle":"","parse-names":false,"suffix":""}],"container-title":"Marine Policy","id":"ITEM-1","issued":{"date-parts":[["2017"]]},"page":"94-103","title":"The sustainable development goals: A case study","type":"article-journal","volume":"86"},"uris":["http://www.mendeley.com/documents/?uuid=e9c54b2f-dbdd-4808-97f7-3a603e9d3755","http://www.mendeley.com/documents/?uuid=7f3e749e-2111-4224-b009-5f8a6721b1ec"]}],"mendeley":{"formattedCitation":"(Aysha Fleming, Russell M.Wise, Heidi Hansen, 2017)","manualFormatting":"(Fleming et al., 2017)","plainTextFormattedCitation":"(Aysha Fleming, Russell M.Wise, Heidi Hansen, 2017)","previouslyFormattedCitation":"(Aysha Fleming, Russell M.Wise, Heidi Hansen,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{"citationItems":[{"id":"ITEM-1","itemData":{"DOI":"https://doi.org/10.1002/2017EF000632","abstract":"Sustainable development goals (SDGs) have set the 2030 agenda to transform our world by tackling multiple challenges humankind is facing to ensure well-being, economic prosperity, and environmental protection. In contrast to conventional development agendas focusing on a restricted set of dimensions, the SDGs provide a holistic and multidimensional view on development. Hence, interactions among the SDGs may cause diverging results. To analyze the SDG interactions we systematize the identification of synergies and trade-offs using official SDG indicator data for 227 countries. A significant positive correlation between a pair of SDG indicators is classified as a synergy while a significant negative correlation is classified as a trade-off. We rank synergies and trade-offs between SDGs pairs on global and country scales in order to identify the most frequent SDG interactions. For a given SDG, positive correlations between indicator pairs were found to outweigh the negative ones in most countries. Among SDGs the positive and negative correlations between indicator pairs allowed for the identification of particular global patterns. SDG 1 (No poverty) has synergetic relationship with most of the other goals, whereas SDG 12 (Responsible consumption and production) is the goal most commonly associated with trade-offs. The attainment of the SDG agenda will greatly depend on whether the identified synergies among the goals can be leveraged. In addition, the highlighted trade-offs, which constitute obstacles in achieving the SDGs, need to be negotiated and made structurally nonobstructive by deeper changes in the current strategies.","author":[{"dropping-particle":"","family":"Pradhan Prajal, Luís Costa, Diego Rybski, Wolfgang Lucht","given":"Jürgen P. Kropp","non-dropping-particle":"","parse-names":false,"suffix":""}],"container-title":"Earth's Future","id":"ITEM-1","issued":{"date-parts":[["2017"]]},"title":"A Systematic Study of Sustainable Development Goal (SDG) Interactions","type":"article-journal"},"uris":["http://www.mendeley.com/documents/?uuid=ad75b326-e1fc-45cf-a744-3ad571de0271","http://www.mendeley.com/documents/?uuid=f9ba6812-46d2-44e5-9533-01216f9f3006"]}],"mendeley":{"formattedCitation":"(Pradhan Prajal, Luís Costa, Diego Rybski, Wolfgang Lucht, 2017)","manualFormatting":"(Pradhan et al., 2017)","plainTextFormattedCitation":"(Pradhan Prajal, Luís Costa, Diego Rybski, Wolfgang Lucht, 2017)","previouslyFormattedCitation":"(Pradhan Prajal, Luís Costa, Diego Rybski, Wolfgang Lucht,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Pradhan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The United Nations has specifically mandated that Member States enact new rules governing non-financial reporting procedures inside their respective jurisdiction as part of the 2030 Agenda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{"citationItems":[{"id":"ITEM-1","itemData":{"DOI":"https://doi.org/10.1002/bse.2628","abstract":"Within the 2030 Agenda, the United Nations have explicitly required that the Member States introduce within their jurisdictions new forms of regulations about non-financial reporting practices. The aim of this paper is to investigate the effects related to the transposition of Directive 2014/95/EU by analyzing firm-level, governance-level, and report-level determinants of business reporting on the Sustainable Development Goals (SDGs). To conduct such an analysis, this study defines and introduces the SDG Reporting Score (SRS)—a qualitative proxy representing a firm orientation toward SDG reporting. The study sample includes the non-financial reports of 153 Italian Public Interest Entities. The results show a positive relationship between a firm's SRS and various determinants, such as the presence of independent directors on the board, expertise with non-financial reporting, and length of the report. Finally, the highest levels of SRS are achieved by firms operating in environmental sensitive sectors.","author":[{"dropping-particle":"","family":"Simone Pizzi,Francesco Rosati","given":"Andrea Venturelli","non-dropping-particle":"","parse-names":false,"suffix":""}],"container-title":"Business Strategy and the Environment","id":"ITEM-1","issue":"1","issued":{"date-parts":[["2021"]]},"page":"404-421","title":"The determinants of business contribution to the 2030 Agenda: Introducing the SDG Reporting Score","type":"article-journal","volume":"30"},"uris":["http://www.mendeley.com/documents/?uuid=136e1f83-d68c-4b18-9a04-826049a5e987","http://www.mendeley.com/documents/?uuid=23c8eddb-b251-495c-be30-f205c645c17a"]}],"mendeley":{"formattedCitation":"(Simone Pizzi,Francesco Rosati, 2021)","manualFormatting":"(Pizzi et al., 2021)","plainTextFormattedCitation":"(Simone Pizzi,Francesco Rosati, 2021)","previouslyFormattedCitation":"(Simone Pizzi,Francesco Rosati,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(Pizzi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{"citationItems":[{"id":"ITEM-1","itemData":{"DOI":"10.1002/csr.1910","ISSN":"15353966","abstract":"Complying with the requirements of sustainability development is a very high priority for the business community. The United Nations' 2030 Agenda and its 17 Sustainable Development Goals (UN_SDGs) pose new challenges for firms, which have to adjust their operations and strategies to the requirements of SDGs. In this context, this paper aims to develop a methodological framework for evaluating the level of alignment of corporate sustainability reporting practices with the scope of UN_SDGs. Based on disclosure topics from Global Reporting Initiative and a scoring system, an evaluation framework was developed in order to assess the quality of information published in sustainability reports with respect to each UN_SDG. An empirical analysis was performed in a sample of sustainability reports in order to examine the structure and the applicability of the proposed methodological framework. The outcomes of the empirical analysis reflect some implications for future research on the UN_SDG reporting practices.","author":[{"dropping-particle":"","family":"Tsalis","given":"Thomas A.","non-dropping-particle":"","parse-names":false,"suffix":""},{"dropping-particle":"","family":"Malamateniou","given":"Kyveli E.","non-dropping-particle":"","parse-names":false,"suffix":""},{"dropping-particle":"","family":"Koulouriotis","given":"Dimitrios","non-dropping-particle":"","parse-names":false,"suffix":""},{"dropping-particle":"","family":"Nikolaou","given":"Ioannis E.","non-dropping-particle":"","parse-names":false,"suffix":""}],"container-title":"Corporate Social Responsibility and Environmental Management","id":"ITEM-1","issue":"4","issued":{"date-parts":[["2020"]]},"page":"1617-1629","title":"New challenges for corporate sustainability reporting: United Nations' 2030 Agenda for sustainable development and the sustainable development goals","type":"article-journal","volume":"27"},"uris":["http://www.mendeley.com/documents/?uuid=3bd4ccba-56cd-44d9-abc8-3769e6216b26"]}],"mendeley":{"formattedCitation":"(Tsalis et al., 2020)","manualFormatting":"Tsalis et al. (2020)","plainTextFormattedCitation":"(Tsalis et al., 2020)","previouslyFormattedCitation":"(Tsalis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Tsalis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UN SDGs present new constraints for businesses because they must reconfigure their operations and plans to meet SDG standards.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{"citationItems":[{"id":"ITEM-1","itemData":{"author":[{"dropping-particle":"","family":"Olaf Weber","given":"","non-dropping-particle":"","parse-names":false,"suffix":""}],"container-title":"Centre for International Governance Innovation","id":"ITEM-1","issued":{"date-parts":[["2018"]]},"page":"32","title":"The Financial Sector and the SDGs","type":"article-journal"},"uris":["http://www.mendeley.com/documents/?uuid=576f1de0-abf4-4445-b335-44cfc7a31fc8","http://www.mendeley.com/documents/?uuid=4fb9992e-c004-4baa-920f-1cbeceba5d82"]}],"mendeley":{"formattedCitation":"(Olaf Weber, 2018)","manualFormatting":"(Weber, 2018)","plainTextFormattedCitation":"(Olaf Weber, 2018)","previouslyFormattedCitation":"(Olaf Weber,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Weber ( 2018)</w:t>
      </w:r>
      <w:r>
        <w:rPr>
          <w:rFonts w:ascii="Times New Roman" w:hAnsi="Times New Roman" w:cs="Times New Roman"/>
          <w:sz w:val="24"/>
          <w:szCs w:val="24"/>
        </w:rPr>
        <w:fldChar w:fldCharType="end"/>
      </w:r>
      <w:r>
        <w:rPr>
          <w:rFonts w:ascii="Times New Roman" w:hAnsi="Times New Roman" w:cs="Times New Roman"/>
          <w:sz w:val="24"/>
          <w:szCs w:val="24"/>
        </w:rPr>
        <w:t xml:space="preserve"> the SDGs may present a chance for the financial sector to further the development of sustainability principles and sustainable development funding.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{"citationItems":[{"id":"ITEM-1","itemData":{"DOI":"https://doi.org/10.3390/risks10010011","abstract":"This paper aims to research the topics related to risk included in non-financial disclosure (NFD) of companies listed on the Warsaw Stock Exchange (WSE) and explore factors that influence the risk topics ratio in NFD. We applied a content analysis using topic modeling to discover latent risk topics in NFD. Next, with Ward’s clustering, we identified four groups of companies with a homogenous risk topic mixture. For causal analysis, to explain the differences in risk topics ratio, we used qualitative comparative analysis (QCA), which allowed us to obtain three paths (variable configurations) leading to the high ratio of risk topics in NFD. Our results suggest that companies disclosing risk information extensively in their NFDs concentrate almost solely on social risk matters. In contrast, companies talking briefly about environmental and social (E&amp;S) risk prepare their NFDs with a more balanced distribution of E&amp;S topics and their financial implication. In general, the companies’ exposure to E&amp;S risk and the use of NFD standards and guidelines as well as the type of NFD impact the space dedicated to risk information. This paper contributes to academics and regulators, filling the gap about risk disclosure in the NFD, identifying the nature of corporate risk disclosures, and upgrading research about determinants of risk information in non-financial disclosure.","author":[{"dropping-particle":"","family":"Justyna Fijałkowska","given":"Dominika Hadro","non-dropping-particle":"","parse-names":false,"suffix":""}],"container-title":"Risks","id":"ITEM-1","issue":"1","issued":{"date-parts":[["2022"]]},"title":"Risk Information in Non-Financial Disclosure","type":"article-journal","volume":"10"},"uris":["http://www.mendeley.com/documents/?uuid=1f0556b7-8184-437e-a539-f43c1f6dfa65","http://www.mendeley.com/documents/?uuid=6e0db2d7-fea9-4164-bcd2-748a4b9771f2"]}],"mendeley":{"formattedCitation":"(Justyna Fijałkowska, 2022)","manualFormatting":"Fijałkowska (2022)","plainTextFormattedCitation":"(Justyna Fijałkowska, 2022)","previouslyFormattedCitation":"(Justyna Fijałkowska,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Fijałkowska (2022)</w:t>
      </w:r>
      <w:r>
        <w:rPr>
          <w:rFonts w:ascii="Times New Roman" w:hAnsi="Times New Roman" w:cs="Times New Roman"/>
          <w:sz w:val="24"/>
          <w:szCs w:val="24"/>
        </w:rPr>
        <w:fldChar w:fldCharType="end"/>
      </w:r>
      <w:r>
        <w:rPr>
          <w:rFonts w:ascii="Times New Roman" w:hAnsi="Times New Roman" w:cs="Times New Roman"/>
          <w:sz w:val="24"/>
          <w:szCs w:val="24"/>
        </w:rPr>
        <w:t xml:space="preserve">, companies that briefly discuss environmental and social risk (E&amp;S).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{"citationItems":[{"id":"ITEM-1","itemData":{"DOI":"10.1111/j.1467-629X.2009.00315.x","ISSN":"08105391","abstract":"This paper investigates the factors that drive high levels of corporate sustainability performance (CSP), as proxied by membership of the Dow Jones Sustainability World Index. Using a stakeholder framework, we examine the incentives for US firms to invest in sustainability principles and develop a number of hypotheses that relate CSP to firm-specific characteristics. Our results indicate that leading CSP firms are significantly larger, have higher levels of growth and a higher return on equity than conventional firms. Contrary to our predictions, leading CSP firms do not have greater free cash flows or lower leverage than other firms. © The Authors. Journal compilation © 2009 AFAANZ.","author":[{"dropping-particle":"","family":"Artiach","given":"Tracy","non-dropping-particle":"","parse-names":false,"suffix":""},{"dropping-particle":"","family":"Lee","given":"Darren","non-dropping-particle":"","parse-names":false,"suffix":""},{"dropping-particle":"","family":"Nelson","given":"David","non-dropping-particle":"","parse-names":false,"suffix":""},{"dropping-particle":"","family":"Walker","given":"Julie","non-dropping-particle":"","parse-names":false,"suffix":""}],"container-title":"Accounting and Finance","id":"ITEM-1","issue":"1","issued":{"date-parts":[["2010"]]},"page":"31-51","title":"The determinants of corporate sustainability performance","type":"article-journal","volume":"50"},"uris":["http://www.mendeley.com/documents/?uuid=83967c1f-c6c5-4318-a33f-af1e771eb022"]}],"mendeley":{"formattedCitation":"(Artiach et al., 2010)","manualFormatting":"Artiach et al (2010)","plainTextFormattedCitation":"(Artiach et al., 2010)","previouslyFormattedCitation":"(Artiach et al.,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Artiach et al (2010)</w:t>
      </w:r>
      <w:r>
        <w:rPr>
          <w:rFonts w:ascii="Times New Roman" w:hAnsi="Times New Roman" w:cs="Times New Roman"/>
          <w:sz w:val="24"/>
          <w:szCs w:val="24"/>
        </w:rPr>
        <w:fldChar w:fldCharType="end"/>
      </w:r>
      <w:r>
        <w:rPr>
          <w:rFonts w:ascii="Times New Roman" w:hAnsi="Times New Roman" w:cs="Times New Roman"/>
          <w:sz w:val="24"/>
          <w:szCs w:val="24"/>
        </w:rPr>
        <w:t xml:space="preserve"> argued that the business and investment plan strives to apply the best business practices to achieve the balance of the stakeholders' present and future demands interpreted by the concept of a company's sustainable development.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jcaf","abstract":"n","author":[{"dropping-particle":"","family":"Curse","given":"Misvaluation","non-dropping-particle":"","parse-names":false,"suffix":""}],"id":"ITEM-1","issued":{"date-parts":[["2016"]]},"page":"11-15","title":"and Acquisitions","type":"article-journal"},"uris":["http://www.mendeley.com/documents/?uuid=68449bd2-e20d-4363-8225-c489612a9463"]}],"mendeley":{"formattedCitation":"(Curse, 2016)","manualFormatting":"Curse (2016)","plainTextFormattedCitation":"(Curse, 2016)","previouslyFormattedCitation":"(Curse,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Curse (2016)</w:t>
      </w:r>
      <w:r>
        <w:rPr>
          <w:rFonts w:ascii="Times New Roman" w:hAnsi="Times New Roman" w:cs="Times New Roman"/>
          <w:sz w:val="24"/>
          <w:szCs w:val="24"/>
        </w:rPr>
        <w:fldChar w:fldCharType="end"/>
      </w:r>
      <w:r>
        <w:rPr>
          <w:rFonts w:ascii="Times New Roman" w:hAnsi="Times New Roman" w:cs="Times New Roman"/>
          <w:sz w:val="24"/>
          <w:szCs w:val="24"/>
        </w:rPr>
        <w:t xml:space="preserve"> examines how to increase businesses' economic value through the implementation of sustainability efforts. </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There are many researchers conducted so far on the topics; Sustainable Development, Sustainable Development Goals and related instances corresponding the foreign context, but less research has ever been conducted regarding the topic Sustainable Development and Sri Lankan context underneath Non-Financial Disclosure Analysis. This research is intended to fill this gap by studying the bank approaches towards SDGs in the local context by way of a non-financial disclosure analysis.</w:t>
      </w:r>
    </w:p>
    <w:p>
      <w:pPr>
        <w:pStyle w:val="2"/>
        <w:numPr>
          <w:ilvl w:val="0"/>
          <w:numId w:val="0"/>
        </w:numPr>
        <w:spacing w:after="240" w:line="360" w:lineRule="auto"/>
        <w:ind w:left="432" w:hanging="432"/>
        <w:rPr>
          <w:rFonts w:cs="Times New Roman"/>
          <w:sz w:val="24"/>
          <w:szCs w:val="24"/>
        </w:rPr>
      </w:pPr>
      <w:r>
        <w:rPr>
          <w:rFonts w:cs="Times New Roman"/>
          <w:sz w:val="24"/>
          <w:szCs w:val="24"/>
        </w:rPr>
        <w:t xml:space="preserve">Research Methodology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Because this study depends on quantifiable observations that lead to statistical analyses and the researcher's role is limited to data collection and objective interpretation, it primarily adheres to epistemological research philosophy with positivism approach. This study adopts a deductive approach. However, quantitative analysis also conducted to analyze the factors that differentiate the Sri Lankan banks' approaches to sustainable development.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the first objective is to be tested through qualitative analysis and descriptive statistics, hypothesis testing is not done. Fig 1 presents the identified variables that was identified by considering previous empirical and theoretical findings as well as related to the scope of the study.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Independent Variables                                                         Dependent Variable</w:t>
      </w:r>
    </w:p>
    <w:p>
      <w:pPr>
        <w:spacing w:after="240" w:line="360" w:lineRule="auto"/>
        <w:rPr>
          <w:rFonts w:ascii="Times New Roman" w:hAnsi="Times New Roman" w:cs="Times New Roman"/>
          <w:sz w:val="24"/>
          <w:szCs w:val="24"/>
        </w:rPr>
      </w:pPr>
      <w:r>
        <w:rPr>
          <w:rFonts w:ascii="Times New Roman" w:hAnsi="Times New Roman" w:cs="Times New Roman"/>
          <w:sz w:val="24"/>
          <w:szCs w:val="24"/>
          <w:lang w:bidi="ar-SA"/>
        </w:rPr>
        <mc:AlternateContent>
          <mc:Choice Requires="wps">
            <w:drawing>
              <wp:anchor distT="0" distB="0" distL="114300" distR="114300" simplePos="0" relativeHeight="251659264" behindDoc="0" locked="0" layoutInCell="1" allowOverlap="1">
                <wp:simplePos x="0" y="0"/>
                <wp:positionH relativeFrom="margin">
                  <wp:posOffset>3679190</wp:posOffset>
                </wp:positionH>
                <wp:positionV relativeFrom="paragraph">
                  <wp:posOffset>9525</wp:posOffset>
                </wp:positionV>
                <wp:extent cx="1292860" cy="1401445"/>
                <wp:effectExtent l="0" t="0" r="21590" b="27305"/>
                <wp:wrapNone/>
                <wp:docPr id="25" name="Rectangle 25"/>
                <wp:cNvGraphicFramePr/>
                <a:graphic xmlns:a="http://schemas.openxmlformats.org/drawingml/2006/main">
                  <a:graphicData uri="http://schemas.microsoft.com/office/word/2010/wordprocessingShape">
                    <wps:wsp>
                      <wps:cNvSpPr/>
                      <wps:spPr>
                        <a:xfrm>
                          <a:off x="0" y="0"/>
                          <a:ext cx="1292860" cy="140144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ascii="Times New Roman" w:hAnsi="Times New Roman" w:cs="Times New Roman"/>
                                <w:b/>
                                <w:bCs/>
                              </w:rPr>
                            </w:pPr>
                            <w:r>
                              <w:rPr>
                                <w:rFonts w:ascii="Times New Roman" w:hAnsi="Times New Roman" w:cs="Times New Roman"/>
                                <w:b/>
                                <w:bCs/>
                              </w:rPr>
                              <w:t>Bank Contribution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5" o:spid="_x0000_s1026" o:spt="1" style="position:absolute;left:0pt;margin-left:289.7pt;margin-top:0.75pt;height:110.35pt;width:101.8pt;mso-position-horizontal-relative:margin;z-index:251659264;v-text-anchor:middle;mso-width-relative:page;mso-height-relative:page;" fillcolor="#FFFFFF" filled="t" stroked="t" coordsize="21600,21600" o:gfxdata="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0/21W1gAAAAkBAAAPAAAAAAAAAAEAIAAA&#10;ACIAAABkcnMvZG93bnJldi54bWxQSwECFAAUAAAACACHTuJAHxPZrIACAAA3BQAADgAAAAAAAAAB&#10;ACAAAAAlAQAAZHJzL2Uyb0RvYy54bWxQSwUGAAAAAAYABgBZAQAAFwYAAAAA&#10;">
                <v:fill on="t" focussize="0,0"/>
                <v:stroke weight="1pt" color="#000000" miterlimit="8" joinstyle="miter"/>
                <v:imagedata o:title=""/>
                <o:lock v:ext="edit" aspectratio="f"/>
                <v:textbox>
                  <w:txbxContent>
                    <w:p>
                      <w:pPr>
                        <w:jc w:val="center"/>
                        <w:rPr>
                          <w:rFonts w:ascii="Times New Roman" w:hAnsi="Times New Roman" w:cs="Times New Roman"/>
                          <w:b/>
                          <w:bCs/>
                        </w:rPr>
                      </w:pPr>
                      <w:r>
                        <w:rPr>
                          <w:rFonts w:ascii="Times New Roman" w:hAnsi="Times New Roman" w:cs="Times New Roman"/>
                          <w:b/>
                          <w:bCs/>
                        </w:rPr>
                        <w:t>Bank Contribution</w:t>
                      </w:r>
                    </w:p>
                  </w:txbxContent>
                </v:textbox>
              </v:rect>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-24765</wp:posOffset>
                </wp:positionV>
                <wp:extent cx="367030" cy="367030"/>
                <wp:effectExtent l="0" t="0" r="0" b="0"/>
                <wp:wrapNone/>
                <wp:docPr id="35" name="Rectangle 35"/>
                <wp:cNvGraphicFramePr/>
                <a:graphic xmlns:a="http://schemas.openxmlformats.org/drawingml/2006/main">
                  <a:graphicData uri="http://schemas.microsoft.com/office/word/2010/wordprocessingShape">
                    <wps:wsp>
                      <wps:cNvSpPr/>
                      <wps:spPr>
                        <a:xfrm>
                          <a:off x="0" y="0"/>
                          <a:ext cx="367259" cy="3670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5" o:spid="_x0000_s1026" o:spt="1" style="position:absolute;left:0pt;margin-top:-1.95pt;height:28.9pt;width:28.9pt;mso-position-horizontal:center;mso-position-horizontal-relative:margin;z-index:251664384;v-text-anchor:middle;mso-width-relative:page;mso-height-relative:page;" filled="f" stroked="f" coordsize="21600,21600" o:gfxdata="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5fnCzRAAAABQEAAA8A&#10;AAAAAAAAAQAgAAAAIgAAAGRycy9kb3ducmV2LnhtbFBLAQIUABQAAAAIAIdO4kAoSUWMHgIAAFYE&#10;AAAOAAAAAAAAAAEAIAAAACABAABkcnMvZTJvRG9jLnhtbFBLBQYAAAAABgAGAFkBAACwBQAAAAA=&#10;">
                <v:fill on="f" focussize="0,0"/>
                <v:stroke on="f"/>
                <v:imagedata o:title=""/>
                <o:lock v:ext="edit" aspectratio="f"/>
                <v:textbo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oMath>
                      </m:oMathPara>
                    </w:p>
                  </w:txbxContent>
                </v:textbox>
              </v:rect>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8480" behindDoc="0" locked="0" layoutInCell="1" allowOverlap="1">
                <wp:simplePos x="0" y="0"/>
                <wp:positionH relativeFrom="column">
                  <wp:posOffset>1903730</wp:posOffset>
                </wp:positionH>
                <wp:positionV relativeFrom="paragraph">
                  <wp:posOffset>206375</wp:posOffset>
                </wp:positionV>
                <wp:extent cx="1633855" cy="7620"/>
                <wp:effectExtent l="0" t="76200" r="23495" b="88265"/>
                <wp:wrapNone/>
                <wp:docPr id="29" name="Straight Arrow Connector 29"/>
                <wp:cNvGraphicFramePr/>
                <a:graphic xmlns:a="http://schemas.openxmlformats.org/drawingml/2006/main">
                  <a:graphicData uri="http://schemas.microsoft.com/office/word/2010/wordprocessingShape">
                    <wps:wsp>
                      <wps:cNvCnPr/>
                      <wps:spPr>
                        <a:xfrm flipV="1">
                          <a:off x="0" y="0"/>
                          <a:ext cx="1633928" cy="7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49.9pt;margin-top:16.25pt;height:0.6pt;width:128.65pt;z-index:251668480;mso-width-relative:page;mso-height-relative:page;" filled="f" stroked="t" coordsize="21600,21600" o:gfxdata="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kDGk7YAAAACQEAAA8AAAAAAAAAAQAgAAAAIgAAAGRycy9kb3ducmV2&#10;LnhtbFBLAQIUABQAAAAIAIdO4kCxg73v/AEAAPMDAAAOAAAAAAAAAAEAIAAAACcBAABkcnMvZTJv&#10;RG9jLnhtbFBLBQYAAAAABgAGAFkBAACVBQAAAAA=&#10;">
                <v:fill on="f" focussize="0,0"/>
                <v:stroke weight="0.5pt" color="#5B9BD5 [3204]" miterlimit="8" joinstyle="miter" endarrow="block"/>
                <v:imagedata o:title=""/>
                <o:lock v:ext="edit" aspectratio="f"/>
              </v:shape>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63500</wp:posOffset>
                </wp:positionV>
                <wp:extent cx="1896110" cy="299720"/>
                <wp:effectExtent l="0" t="0" r="27940" b="24765"/>
                <wp:wrapNone/>
                <wp:docPr id="26" name="Rectangle 26"/>
                <wp:cNvGraphicFramePr/>
                <a:graphic xmlns:a="http://schemas.openxmlformats.org/drawingml/2006/main">
                  <a:graphicData uri="http://schemas.microsoft.com/office/word/2010/wordprocessingShape">
                    <wps:wsp>
                      <wps:cNvSpPr/>
                      <wps:spPr>
                        <a:xfrm>
                          <a:off x="0" y="0"/>
                          <a:ext cx="1896255" cy="299574"/>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ascii="Times New Roman" w:hAnsi="Times New Roman" w:cs="Times New Roman"/>
                                <w:b/>
                                <w:bCs/>
                              </w:rPr>
                            </w:pPr>
                            <w:r>
                              <w:rPr>
                                <w:rFonts w:ascii="Times New Roman" w:hAnsi="Times New Roman" w:cs="Times New Roman"/>
                              </w:rPr>
                              <w:t>Business Model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6" o:spid="_x0000_s1026" o:spt="1" style="position:absolute;left:0pt;margin-top:5pt;height:23.6pt;width:149.3pt;mso-position-horizontal:left;mso-position-horizontal-relative:margin;z-index:251660288;v-text-anchor:middle;mso-width-relative:page;mso-height-relative:page;" fillcolor="#FFFFFF" filled="t" stroked="t" coordsize="21600,21600" o:gfxdata="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Z25js1AAAAAYBAAAPAAAAAAAAAAEAIAAA&#10;ACIAAABkcnMvZG93bnJldi54bWxQSwECFAAUAAAACACHTuJAQU6fkYICAAA2BQAADgAAAAAAAAAB&#10;ACAAAAAjAQAAZHJzL2Uyb0RvYy54bWxQSwUGAAAAAAYABgBZAQAAFwYAAAAA&#10;">
                <v:fill on="t" focussize="0,0"/>
                <v:stroke weight="1pt" color="#000000" miterlimit="8" joinstyle="miter"/>
                <v:imagedata o:title=""/>
                <o:lock v:ext="edit" aspectratio="f"/>
                <v:textbox>
                  <w:txbxContent>
                    <w:p>
                      <w:pPr>
                        <w:jc w:val="center"/>
                        <w:rPr>
                          <w:rFonts w:ascii="Times New Roman" w:hAnsi="Times New Roman" w:cs="Times New Roman"/>
                          <w:b/>
                          <w:bCs/>
                        </w:rPr>
                      </w:pPr>
                      <w:r>
                        <w:rPr>
                          <w:rFonts w:ascii="Times New Roman" w:hAnsi="Times New Roman" w:cs="Times New Roman"/>
                        </w:rPr>
                        <w:t>Business Model</w:t>
                      </w:r>
                    </w:p>
                  </w:txbxContent>
                </v:textbox>
              </v:rect>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378460</wp:posOffset>
                </wp:positionV>
                <wp:extent cx="367030" cy="367030"/>
                <wp:effectExtent l="0" t="0" r="0" b="0"/>
                <wp:wrapNone/>
                <wp:docPr id="36" name="Rectangle 36"/>
                <wp:cNvGraphicFramePr/>
                <a:graphic xmlns:a="http://schemas.openxmlformats.org/drawingml/2006/main">
                  <a:graphicData uri="http://schemas.microsoft.com/office/word/2010/wordprocessingShape">
                    <wps:wsp>
                      <wps:cNvSpPr/>
                      <wps:spPr>
                        <a:xfrm>
                          <a:off x="0" y="0"/>
                          <a:ext cx="367259" cy="3670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6" o:spid="_x0000_s1026" o:spt="1" style="position:absolute;left:0pt;margin-top:29.8pt;height:28.9pt;width:28.9pt;mso-position-horizontal:center;mso-position-horizontal-relative:margin;z-index:251665408;v-text-anchor:middle;mso-width-relative:page;mso-height-relative:page;" filled="f" stroked="f" coordsize="21600,21600" o:gfxdata="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xrFb9IAAAAGAQAA&#10;DwAAAAAAAAABACAAAAAiAAAAZHJzL2Rvd25yZXYueG1sUEsBAhQAFAAAAAgAh07iQFcc/8MfAgAA&#10;VgQAAA4AAAAAAAAAAQAgAAAAIQEAAGRycy9lMm9Eb2MueG1sUEsFBgAAAAAGAAYAWQEAALIFAAAA&#10;AA==&#10;">
                <v:fill on="f" focussize="0,0"/>
                <v:stroke on="f"/>
                <v:imagedata o:title=""/>
                <o:lock v:ext="edit" aspectratio="f"/>
                <v:textbo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m:oMathPara>
                    </w:p>
                  </w:txbxContent>
                </v:textbox>
              </v:rect>
            </w:pict>
          </mc:Fallback>
        </mc:AlternateContent>
      </w:r>
    </w:p>
    <w:p>
      <w:pPr>
        <w:spacing w:after="240" w:line="360" w:lineRule="auto"/>
        <w:rPr>
          <w:rFonts w:ascii="Times New Roman" w:hAnsi="Times New Roman" w:cs="Times New Roman"/>
          <w:sz w:val="24"/>
          <w:szCs w:val="24"/>
        </w:rPr>
      </w:pPr>
      <w:r>
        <w:rPr>
          <w:rFonts w:ascii="Times New Roman" w:hAnsi="Times New Roman" w:cs="Times New Roman"/>
          <w:sz w:val="24"/>
          <w:szCs w:val="24"/>
          <w:lang w:bidi="ar-SA"/>
        </w:rPr>
        <mc:AlternateContent>
          <mc:Choice Requires="wps">
            <w:drawing>
              <wp:anchor distT="0" distB="0" distL="114300" distR="114300" simplePos="0" relativeHeight="251669504" behindDoc="0" locked="0" layoutInCell="1" allowOverlap="1">
                <wp:simplePos x="0" y="0"/>
                <wp:positionH relativeFrom="column">
                  <wp:posOffset>1918335</wp:posOffset>
                </wp:positionH>
                <wp:positionV relativeFrom="paragraph">
                  <wp:posOffset>158115</wp:posOffset>
                </wp:positionV>
                <wp:extent cx="1633855" cy="7620"/>
                <wp:effectExtent l="0" t="76200" r="23495" b="88265"/>
                <wp:wrapNone/>
                <wp:docPr id="30" name="Straight Arrow Connector 30"/>
                <wp:cNvGraphicFramePr/>
                <a:graphic xmlns:a="http://schemas.openxmlformats.org/drawingml/2006/main">
                  <a:graphicData uri="http://schemas.microsoft.com/office/word/2010/wordprocessingShape">
                    <wps:wsp>
                      <wps:cNvCnPr/>
                      <wps:spPr>
                        <a:xfrm flipV="1">
                          <a:off x="0" y="0"/>
                          <a:ext cx="1633928" cy="7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1.05pt;margin-top:12.45pt;height:0.6pt;width:128.65pt;z-index:251669504;mso-width-relative:page;mso-height-relative:page;" filled="f" stroked="t" coordsize="21600,21600" o:gfxdata="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12czZAAAACQEAAA8AAAAAAAAAAQAgAAAAIgAAAGRycy9kb3ducmV2&#10;LnhtbFBLAQIUABQAAAAIAIdO4kASCIy7+wEAAPMDAAAOAAAAAAAAAAEAIAAAACgBAABkcnMvZTJv&#10;RG9jLnhtbFBLBQYAAAAABgAGAFkBAACVBQAAAAA=&#10;">
                <v:fill on="f" focussize="0,0"/>
                <v:stroke weight="0.5pt" color="#5B9BD5 [3204]" miterlimit="8" joinstyle="miter" endarrow="block"/>
                <v:imagedata o:title=""/>
                <o:lock v:ext="edit" aspectratio="f"/>
              </v:shape>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374650</wp:posOffset>
                </wp:positionV>
                <wp:extent cx="1888490" cy="299720"/>
                <wp:effectExtent l="0" t="0" r="16510" b="24130"/>
                <wp:wrapNone/>
                <wp:docPr id="15" name="Rectangle 15"/>
                <wp:cNvGraphicFramePr/>
                <a:graphic xmlns:a="http://schemas.openxmlformats.org/drawingml/2006/main">
                  <a:graphicData uri="http://schemas.microsoft.com/office/word/2010/wordprocessingShape">
                    <wps:wsp>
                      <wps:cNvSpPr/>
                      <wps:spPr>
                        <a:xfrm>
                          <a:off x="0" y="0"/>
                          <a:ext cx="1888615" cy="299803"/>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ascii="Times New Roman" w:hAnsi="Times New Roman" w:cs="Times New Roman"/>
                                <w:b/>
                                <w:bCs/>
                              </w:rPr>
                            </w:pPr>
                            <w:r>
                              <w:rPr>
                                <w:rFonts w:ascii="Times New Roman" w:hAnsi="Times New Roman" w:cs="Times New Roman"/>
                              </w:rPr>
                              <w:t>Integrated Reporting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 o:spid="_x0000_s1026" o:spt="1" style="position:absolute;left:0pt;margin-top:29.5pt;height:23.6pt;width:148.7pt;mso-position-horizontal:left;mso-position-horizontal-relative:margin;z-index:251662336;v-text-anchor:middle;mso-width-relative:page;mso-height-relative:page;" fillcolor="#FFFFFF" filled="t" stroked="t" coordsize="21600,21600" o:gfxdata="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2gEhrVAAAABwEAAA8AAAAAAAAAAQAgAAAA&#10;IgAAAGRycy9kb3ducmV2LnhtbFBLAQIUABQAAAAIAIdO4kA2jjX4gAIAADYFAAAOAAAAAAAAAAEA&#10;IAAAACQBAABkcnMvZTJvRG9jLnhtbFBLBQYAAAAABgAGAFkBAAAWBgAAAAA=&#10;">
                <v:fill on="t" focussize="0,0"/>
                <v:stroke weight="1pt" color="#000000" miterlimit="8" joinstyle="miter"/>
                <v:imagedata o:title=""/>
                <o:lock v:ext="edit" aspectratio="f"/>
                <v:textbox>
                  <w:txbxContent>
                    <w:p>
                      <w:pPr>
                        <w:jc w:val="center"/>
                        <w:rPr>
                          <w:rFonts w:ascii="Times New Roman" w:hAnsi="Times New Roman" w:cs="Times New Roman"/>
                          <w:b/>
                          <w:bCs/>
                        </w:rPr>
                      </w:pPr>
                      <w:r>
                        <w:rPr>
                          <w:rFonts w:ascii="Times New Roman" w:hAnsi="Times New Roman" w:cs="Times New Roman"/>
                        </w:rPr>
                        <w:t>Integrated Reporting</w:t>
                      </w:r>
                    </w:p>
                  </w:txbxContent>
                </v:textbox>
              </v:rect>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7620</wp:posOffset>
                </wp:positionV>
                <wp:extent cx="1888490" cy="285115"/>
                <wp:effectExtent l="0" t="0" r="16510" b="20320"/>
                <wp:wrapNone/>
                <wp:docPr id="27" name="Rectangle 27"/>
                <wp:cNvGraphicFramePr/>
                <a:graphic xmlns:a="http://schemas.openxmlformats.org/drawingml/2006/main">
                  <a:graphicData uri="http://schemas.microsoft.com/office/word/2010/wordprocessingShape">
                    <wps:wsp>
                      <wps:cNvSpPr/>
                      <wps:spPr>
                        <a:xfrm>
                          <a:off x="0" y="0"/>
                          <a:ext cx="1888615" cy="284813"/>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ascii="Times New Roman" w:hAnsi="Times New Roman" w:cs="Times New Roman"/>
                                <w:b/>
                                <w:bCs/>
                              </w:rPr>
                            </w:pPr>
                            <w:r>
                              <w:rPr>
                                <w:rFonts w:ascii="Times New Roman" w:hAnsi="Times New Roman" w:cs="Times New Roman"/>
                              </w:rPr>
                              <w:t>Stock Exchange</w:t>
                            </w:r>
                            <w:r>
                              <w:rPr>
                                <w:rFonts w:ascii="Times New Roman" w:hAnsi="Times New Roman" w:cs="Times New Roman"/>
                                <w:sz w:val="24"/>
                                <w:szCs w:val="24"/>
                              </w:rPr>
                              <w:t xml:space="preserve"> Listing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7" o:spid="_x0000_s1026" o:spt="1" style="position:absolute;left:0pt;margin-top:0.6pt;height:22.45pt;width:148.7pt;mso-position-horizontal:left;mso-position-horizontal-relative:margin;z-index:251661312;v-text-anchor:middle;mso-width-relative:page;mso-height-relative:page;" fillcolor="#FFFFFF" filled="t" stroked="t" coordsize="21600,21600" o:gfxdata="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v5P6NMAAAAFAQAADwAAAAAAAAABACAAAAAi&#10;AAAAZHJzL2Rvd25yZXYueG1sUEsBAhQAFAAAAAgAh07iQBwoOreBAgAANgUAAA4AAAAAAAAAAQAg&#10;AAAAIgEAAGRycy9lMm9Eb2MueG1sUEsFBgAAAAAGAAYAWQEAABUGAAAAAA==&#10;">
                <v:fill on="t" focussize="0,0"/>
                <v:stroke weight="1pt" color="#000000" miterlimit="8" joinstyle="miter"/>
                <v:imagedata o:title=""/>
                <o:lock v:ext="edit" aspectratio="f"/>
                <v:textbox>
                  <w:txbxContent>
                    <w:p>
                      <w:pPr>
                        <w:jc w:val="center"/>
                        <w:rPr>
                          <w:rFonts w:ascii="Times New Roman" w:hAnsi="Times New Roman" w:cs="Times New Roman"/>
                          <w:b/>
                          <w:bCs/>
                        </w:rPr>
                      </w:pPr>
                      <w:r>
                        <w:rPr>
                          <w:rFonts w:ascii="Times New Roman" w:hAnsi="Times New Roman" w:cs="Times New Roman"/>
                        </w:rPr>
                        <w:t>Stock Exchange</w:t>
                      </w:r>
                      <w:r>
                        <w:rPr>
                          <w:rFonts w:ascii="Times New Roman" w:hAnsi="Times New Roman" w:cs="Times New Roman"/>
                          <w:sz w:val="24"/>
                          <w:szCs w:val="24"/>
                        </w:rPr>
                        <w:t xml:space="preserve"> Listing</w:t>
                      </w:r>
                    </w:p>
                  </w:txbxContent>
                </v:textbox>
              </v:rect>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291465</wp:posOffset>
                </wp:positionV>
                <wp:extent cx="367030" cy="367030"/>
                <wp:effectExtent l="0" t="0" r="0" b="0"/>
                <wp:wrapNone/>
                <wp:docPr id="37" name="Rectangle 37"/>
                <wp:cNvGraphicFramePr/>
                <a:graphic xmlns:a="http://schemas.openxmlformats.org/drawingml/2006/main">
                  <a:graphicData uri="http://schemas.microsoft.com/office/word/2010/wordprocessingShape">
                    <wps:wsp>
                      <wps:cNvSpPr/>
                      <wps:spPr>
                        <a:xfrm>
                          <a:off x="0" y="0"/>
                          <a:ext cx="367259" cy="3670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7" o:spid="_x0000_s1026" o:spt="1" style="position:absolute;left:0pt;margin-top:22.95pt;height:28.9pt;width:28.9pt;mso-position-horizontal:center;mso-position-horizontal-relative:margin;z-index:251666432;v-text-anchor:middle;mso-width-relative:page;mso-height-relative:page;" filled="f" stroked="f" coordsize="21600,21600" o:gfxdata="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WDJDtIAAAAGAQAA&#10;DwAAAAAAAAABACAAAAAiAAAAZHJzL2Rvd25yZXYueG1sUEsBAhQAFAAAAAgAh07iQL3SuU8fAgAA&#10;VgQAAA4AAAAAAAAAAQAgAAAAIQEAAGRycy9lMm9Eb2MueG1sUEsFBgAAAAAGAAYAWQEAALIFAAAA&#10;AA==&#10;">
                <v:fill on="f" focussize="0,0"/>
                <v:stroke on="f"/>
                <v:imagedata o:title=""/>
                <o:lock v:ext="edit" aspectratio="f"/>
                <v:textbo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oMath>
                      </m:oMathPara>
                    </w:p>
                  </w:txbxContent>
                </v:textbox>
              </v:rect>
            </w:pict>
          </mc:Fallback>
        </mc:AlternateContent>
      </w:r>
    </w:p>
    <w:p>
      <w:pPr>
        <w:spacing w:after="240" w:line="360" w:lineRule="auto"/>
        <w:rPr>
          <w:rFonts w:ascii="Times New Roman" w:hAnsi="Times New Roman" w:cs="Times New Roman"/>
          <w:sz w:val="24"/>
          <w:szCs w:val="24"/>
        </w:rPr>
      </w:pPr>
      <w:r>
        <w:rPr>
          <w:rFonts w:ascii="Times New Roman" w:hAnsi="Times New Roman" w:cs="Times New Roman"/>
          <w:sz w:val="24"/>
          <w:szCs w:val="24"/>
          <w:lang w:bidi="ar-SA"/>
        </w:rPr>
        <mc:AlternateContent>
          <mc:Choice Requires="wps">
            <w:drawing>
              <wp:anchor distT="0" distB="0" distL="114300" distR="114300" simplePos="0" relativeHeight="251671552" behindDoc="0" locked="0" layoutInCell="1" allowOverlap="1">
                <wp:simplePos x="0" y="0"/>
                <wp:positionH relativeFrom="column">
                  <wp:posOffset>1935480</wp:posOffset>
                </wp:positionH>
                <wp:positionV relativeFrom="paragraph">
                  <wp:posOffset>405765</wp:posOffset>
                </wp:positionV>
                <wp:extent cx="1633855" cy="7620"/>
                <wp:effectExtent l="0" t="76200" r="23495" b="88265"/>
                <wp:wrapNone/>
                <wp:docPr id="32" name="Straight Arrow Connector 32"/>
                <wp:cNvGraphicFramePr/>
                <a:graphic xmlns:a="http://schemas.openxmlformats.org/drawingml/2006/main">
                  <a:graphicData uri="http://schemas.microsoft.com/office/word/2010/wordprocessingShape">
                    <wps:wsp>
                      <wps:cNvCnPr/>
                      <wps:spPr>
                        <a:xfrm flipV="1">
                          <a:off x="0" y="0"/>
                          <a:ext cx="1633928" cy="7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2.4pt;margin-top:31.95pt;height:0.6pt;width:128.65pt;z-index:251671552;mso-width-relative:page;mso-height-relative:page;" filled="f" stroked="t" coordsize="21600,21600" o:gfxdata="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cMWTYAAAACQEAAA8AAAAAAAAAAQAgAAAAIgAAAGRycy9kb3ducmV2&#10;LnhtbFBLAQIUABQAAAAIAIdO4kAfkrRR/AEAAPMDAAAOAAAAAAAAAAEAIAAAACcBAABkcnMvZTJv&#10;RG9jLnhtbFBLBQYAAAAABgAGAFkBAACVBQAAAAA=&#10;">
                <v:fill on="f" focussize="0,0"/>
                <v:stroke weight="0.5pt" color="#5B9BD5 [3204]" miterlimit="8" joinstyle="miter" endarrow="block"/>
                <v:imagedata o:title=""/>
                <o:lock v:ext="edit" aspectratio="f"/>
              </v:shape>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193675</wp:posOffset>
                </wp:positionV>
                <wp:extent cx="367030" cy="367030"/>
                <wp:effectExtent l="0" t="0" r="0" b="0"/>
                <wp:wrapNone/>
                <wp:docPr id="38" name="Rectangle 38"/>
                <wp:cNvGraphicFramePr/>
                <a:graphic xmlns:a="http://schemas.openxmlformats.org/drawingml/2006/main">
                  <a:graphicData uri="http://schemas.microsoft.com/office/word/2010/wordprocessingShape">
                    <wps:wsp>
                      <wps:cNvSpPr/>
                      <wps:spPr>
                        <a:xfrm>
                          <a:off x="0" y="0"/>
                          <a:ext cx="367259" cy="3670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4</m:t>
                                    </m:r>
                                    <m:ctrlPr>
                                      <w:rPr>
                                        <w:rFonts w:ascii="Cambria Math" w:hAnsi="Cambria Math" w:cs="Times New Roman"/>
                                        <w:i/>
                                        <w:sz w:val="24"/>
                                        <w:szCs w:val="24"/>
                                      </w:rPr>
                                    </m:ctrlPr>
                                  </m:sub>
                                </m:sSub>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8" o:spid="_x0000_s1026" o:spt="1" style="position:absolute;left:0pt;margin-top:15.25pt;height:28.9pt;width:28.9pt;mso-position-horizontal:center;mso-position-horizontal-relative:margin;z-index:251667456;v-text-anchor:middle;mso-width-relative:page;mso-height-relative:page;" filled="f" stroked="f" coordsize="21600,21600" o:gfxdata="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XTefRAAAABQEAAA8A&#10;AAAAAAAAAQAgAAAAIgAAAGRycy9kb3ducmV2LnhtbFBLAQIUABQAAAAIAIdO4kB/1JvlHgIAAFYE&#10;AAAOAAAAAAAAAAEAIAAAACABAABkcnMvZTJvRG9jLnhtbFBLBQYAAAAABgAGAFkBAACwBQAAAAA=&#10;">
                <v:fill on="f" focussize="0,0"/>
                <v:stroke on="f"/>
                <v:imagedata o:title=""/>
                <o:lock v:ext="edit" aspectratio="f"/>
                <v:textbox>
                  <w:txbxContent>
                    <w:p>
                      <w:pPr>
                        <w:ind w:left="360"/>
                        <w:rPr>
                          <w:rFonts w:ascii="Times New Roman" w:hAnsi="Times New Roman" w:cs="Times New Roman"/>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4</m:t>
                              </m:r>
                              <m:ctrlPr>
                                <w:rPr>
                                  <w:rFonts w:ascii="Cambria Math" w:hAnsi="Cambria Math" w:cs="Times New Roman"/>
                                  <w:i/>
                                  <w:sz w:val="24"/>
                                  <w:szCs w:val="24"/>
                                </w:rPr>
                              </m:ctrlPr>
                            </m:sub>
                          </m:sSub>
                        </m:oMath>
                      </m:oMathPara>
                    </w:p>
                  </w:txbxContent>
                </v:textbox>
              </v:rect>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70528" behindDoc="0" locked="0" layoutInCell="1" allowOverlap="1">
                <wp:simplePos x="0" y="0"/>
                <wp:positionH relativeFrom="column">
                  <wp:posOffset>1913255</wp:posOffset>
                </wp:positionH>
                <wp:positionV relativeFrom="paragraph">
                  <wp:posOffset>87630</wp:posOffset>
                </wp:positionV>
                <wp:extent cx="1633855" cy="7620"/>
                <wp:effectExtent l="0" t="76200" r="23495" b="88265"/>
                <wp:wrapNone/>
                <wp:docPr id="31" name="Straight Arrow Connector 31"/>
                <wp:cNvGraphicFramePr/>
                <a:graphic xmlns:a="http://schemas.openxmlformats.org/drawingml/2006/main">
                  <a:graphicData uri="http://schemas.microsoft.com/office/word/2010/wordprocessingShape">
                    <wps:wsp>
                      <wps:cNvCnPr/>
                      <wps:spPr>
                        <a:xfrm flipV="1">
                          <a:off x="0" y="0"/>
                          <a:ext cx="1633928" cy="7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0.65pt;margin-top:6.9pt;height:0.6pt;width:128.65pt;z-index:251670528;mso-width-relative:page;mso-height-relative:page;" filled="f" stroked="t" coordsize="21600,21600" o:gfxdata="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AhCU1gAAAAkBAAAPAAAAAAAAAAEAIAAAACIAAABkcnMvZG93bnJldi54&#10;bWxQSwECFAAUAAAACACHTuJANMYoI/wBAADzAwAADgAAAAAAAAABACAAAAAlAQAAZHJzL2Uyb0Rv&#10;Yy54bWxQSwUGAAAAAAYABgBZAQAAkwUAAAAA&#10;">
                <v:fill on="f" focussize="0,0"/>
                <v:stroke weight="0.5pt" color="#5B9BD5 [3204]" miterlimit="8" joinstyle="miter" endarrow="block"/>
                <v:imagedata o:title=""/>
                <o:lock v:ext="edit" aspectratio="f"/>
              </v:shape>
            </w:pict>
          </mc:Fallback>
        </mc:AlternateContent>
      </w:r>
      <w:r>
        <w:rPr>
          <w:rFonts w:ascii="Times New Roman" w:hAnsi="Times New Roman" w:cs="Times New Roman"/>
          <w:sz w:val="24"/>
          <w:szCs w:val="24"/>
          <w:lang w:bidi="ar-SA"/>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295275</wp:posOffset>
                </wp:positionV>
                <wp:extent cx="1888490" cy="262255"/>
                <wp:effectExtent l="0" t="0" r="16510" b="23495"/>
                <wp:wrapNone/>
                <wp:docPr id="16" name="Rectangle 16"/>
                <wp:cNvGraphicFramePr/>
                <a:graphic xmlns:a="http://schemas.openxmlformats.org/drawingml/2006/main">
                  <a:graphicData uri="http://schemas.microsoft.com/office/word/2010/wordprocessingShape">
                    <wps:wsp>
                      <wps:cNvSpPr/>
                      <wps:spPr>
                        <a:xfrm>
                          <a:off x="0" y="0"/>
                          <a:ext cx="1888760" cy="262328"/>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ascii="Times New Roman" w:hAnsi="Times New Roman" w:cs="Times New Roman"/>
                                <w:b/>
                                <w:bCs/>
                              </w:rPr>
                            </w:pPr>
                            <w:r>
                              <w:rPr>
                                <w:rFonts w:ascii="Times New Roman" w:hAnsi="Times New Roman" w:cs="Times New Roman"/>
                              </w:rPr>
                              <w:t>Ownership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6" o:spt="1" style="position:absolute;left:0pt;margin-top:23.25pt;height:20.65pt;width:148.7pt;mso-position-horizontal:left;mso-position-horizontal-relative:margin;z-index:251663360;v-text-anchor:middle;mso-width-relative:page;mso-height-relative:page;" fillcolor="#FFFFFF" filled="t" stroked="t" coordsize="21600,21600" o:gfxdata="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7JE4ItUAAAAGAQAADwAAAAAAAAABACAAAAAi&#10;AAAAZHJzL2Rvd25yZXYueG1sUEsBAhQAFAAAAAgAh07iQAMJC41/AgAANgUAAA4AAAAAAAAAAQAg&#10;AAAAJAEAAGRycy9lMm9Eb2MueG1sUEsFBgAAAAAGAAYAWQEAABUGAAAAAA==&#10;">
                <v:fill on="t" focussize="0,0"/>
                <v:stroke weight="1pt" color="#000000" miterlimit="8" joinstyle="miter"/>
                <v:imagedata o:title=""/>
                <o:lock v:ext="edit" aspectratio="f"/>
                <v:textbox>
                  <w:txbxContent>
                    <w:p>
                      <w:pPr>
                        <w:jc w:val="center"/>
                        <w:rPr>
                          <w:rFonts w:ascii="Times New Roman" w:hAnsi="Times New Roman" w:cs="Times New Roman"/>
                          <w:b/>
                          <w:bCs/>
                        </w:rPr>
                      </w:pPr>
                      <w:r>
                        <w:rPr>
                          <w:rFonts w:ascii="Times New Roman" w:hAnsi="Times New Roman" w:cs="Times New Roman"/>
                        </w:rPr>
                        <w:t>Ownership</w:t>
                      </w:r>
                    </w:p>
                  </w:txbxContent>
                </v:textbox>
              </v:rect>
            </w:pict>
          </mc:Fallback>
        </mc:AlternateContent>
      </w:r>
      <w:r>
        <w:rPr>
          <w:rFonts w:ascii="Times New Roman" w:hAnsi="Times New Roman" w:cs="Times New Roman"/>
          <w:sz w:val="24"/>
          <w:szCs w:val="24"/>
        </w:rPr>
        <w:t xml:space="preserve">                                              </w:t>
      </w:r>
    </w:p>
    <w:p>
      <w:pPr>
        <w:spacing w:after="240" w:line="360" w:lineRule="auto"/>
        <w:jc w:val="both"/>
        <w:rPr>
          <w:rFonts w:ascii="Times New Roman" w:hAnsi="Times New Roman" w:cs="Times New Roman"/>
          <w:sz w:val="24"/>
          <w:szCs w:val="24"/>
        </w:rPr>
      </w:pPr>
      <w:r>
        <w:rPr>
          <w:rFonts w:ascii="Times New Roman" w:hAnsi="Times New Roman" w:cs="Times New Roman"/>
          <w:i/>
          <w:iCs/>
          <w:sz w:val="24"/>
          <w:szCs w:val="24"/>
          <w:lang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215265</wp:posOffset>
                </wp:positionV>
                <wp:extent cx="2506980" cy="217170"/>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2506980" cy="217357"/>
                        </a:xfrm>
                        <a:prstGeom prst="rect">
                          <a:avLst/>
                        </a:prstGeom>
                        <a:solidFill>
                          <a:prstClr val="white"/>
                        </a:solidFill>
                        <a:ln>
                          <a:noFill/>
                        </a:ln>
                      </wps:spPr>
                      <wps:txbx>
                        <w:txbxContent>
                          <w:p>
                            <w:pPr>
                              <w:pStyle w:val="14"/>
                              <w:keepNext/>
                              <w:rPr>
                                <w:rFonts w:ascii="Times New Roman" w:hAnsi="Times New Roman" w:cs="Times New Roman"/>
                                <w:b/>
                                <w:bCs/>
                                <w:i w:val="0"/>
                                <w:iCs w:val="0"/>
                                <w:color w:val="auto"/>
                                <w:sz w:val="20"/>
                                <w:szCs w:val="20"/>
                              </w:rPr>
                            </w:pPr>
                            <w:bookmarkStart w:id="19" w:name="_Toc128087512"/>
                            <w:r>
                              <w:rPr>
                                <w:rFonts w:ascii="Times New Roman" w:hAnsi="Times New Roman" w:cs="Times New Roman"/>
                                <w:b/>
                                <w:bCs/>
                                <w:i w:val="0"/>
                                <w:iCs w:val="0"/>
                                <w:color w:val="auto"/>
                                <w:sz w:val="20"/>
                                <w:szCs w:val="20"/>
                              </w:rPr>
                              <w:t>Figure 1:   Identified Variables</w:t>
                            </w:r>
                            <w:bookmarkEnd w:id="19"/>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6.95pt;height:17.1pt;width:197.4pt;mso-position-horizontal:center;mso-position-horizontal-relative:margin;z-index:251672576;mso-width-relative:page;mso-height-relative:page;" fillcolor="#FFFFFF" filled="t" stroked="f" coordsize="21600,21600" o:gfxdata="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rp6cdYAAAAGAQAADwAAAAAAAAABACAAAAAiAAAAZHJzL2Rvd25yZXYueG1sUEsBAhQA&#10;FAAAAAgAh07iQNLUMUstAgAAdgQAAA4AAAAAAAAAAQAgAAAAJQEAAGRycy9lMm9Eb2MueG1sUEsF&#10;BgAAAAAGAAYAWQEAAMQFAAAAAA==&#10;">
                <v:fill on="t" focussize="0,0"/>
                <v:stroke on="f"/>
                <v:imagedata o:title=""/>
                <o:lock v:ext="edit" aspectratio="f"/>
                <v:textbox inset="0mm,0mm,0mm,0mm">
                  <w:txbxContent>
                    <w:p>
                      <w:pPr>
                        <w:pStyle w:val="14"/>
                        <w:keepNext/>
                        <w:rPr>
                          <w:rFonts w:ascii="Times New Roman" w:hAnsi="Times New Roman" w:cs="Times New Roman"/>
                          <w:b/>
                          <w:bCs/>
                          <w:i w:val="0"/>
                          <w:iCs w:val="0"/>
                          <w:color w:val="auto"/>
                          <w:sz w:val="20"/>
                          <w:szCs w:val="20"/>
                        </w:rPr>
                      </w:pPr>
                      <w:bookmarkStart w:id="19" w:name="_Toc128087512"/>
                      <w:r>
                        <w:rPr>
                          <w:rFonts w:ascii="Times New Roman" w:hAnsi="Times New Roman" w:cs="Times New Roman"/>
                          <w:b/>
                          <w:bCs/>
                          <w:i w:val="0"/>
                          <w:iCs w:val="0"/>
                          <w:color w:val="auto"/>
                          <w:sz w:val="20"/>
                          <w:szCs w:val="20"/>
                        </w:rPr>
                        <w:t>Figure 1:   Identified Variables</w:t>
                      </w:r>
                      <w:bookmarkEnd w:id="19"/>
                    </w:p>
                  </w:txbxContent>
                </v:textbox>
              </v:shape>
            </w:pict>
          </mc:Fallback>
        </mc:AlternateContent>
      </w:r>
    </w:p>
    <w:p>
      <w:pPr>
        <w:spacing w:after="240" w:line="360" w:lineRule="auto"/>
        <w:rPr>
          <w:rFonts w:ascii="Times New Roman" w:hAnsi="Times New Roman" w:cs="Times New Roman"/>
          <w:i/>
          <w:iCs/>
        </w:rPr>
      </w:pPr>
      <w:r>
        <w:rPr>
          <w:rFonts w:ascii="Times New Roman" w:hAnsi="Times New Roman" w:cs="Times New Roman"/>
          <w:i/>
          <w:iCs/>
        </w:rPr>
        <w:t>Source: Author Created based on literature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conceptual framework is used to identify the factors differentiating bank approaches, which is the second objective of the research and formulated the four hypotheses ( H1, H2, H3 and H4) based on the literature (Cosma,  Venturelli, Schwizer,  &amp; Boscia, 2020)  to check the </w:t>
      </w:r>
      <w:r>
        <w:rPr>
          <w:rFonts w:ascii="Times New Roman" w:hAnsi="Times New Roman" w:cs="Times New Roman"/>
          <w:iCs/>
          <w:sz w:val="24"/>
          <w:szCs w:val="24"/>
        </w:rPr>
        <w:t>distribution of score is same across categories</w:t>
      </w:r>
      <w:r>
        <w:rPr>
          <w:rFonts w:ascii="Times New Roman" w:hAnsi="Times New Roman" w:cs="Times New Roman"/>
          <w:sz w:val="24"/>
          <w:szCs w:val="24"/>
        </w:rPr>
        <w:t xml:space="preserve"> under </w:t>
      </w:r>
      <w:r>
        <w:rPr>
          <w:rFonts w:ascii="Times New Roman" w:hAnsi="Times New Roman" w:cs="Times New Roman"/>
          <w:iCs/>
          <w:sz w:val="24"/>
          <w:szCs w:val="24"/>
        </w:rPr>
        <w:t>Business Model, Stock Exchange Listing ,Integrated Reporting and Ownership.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of 30 banks are registered in the central bank of Sri Lanka under the banking sector on the 30 September 2022. Sample of 13 </w:t>
      </w:r>
      <w:r>
        <w:rPr>
          <w:rFonts w:ascii="Times New Roman" w:hAnsi="Times New Roman" w:cs="Times New Roman"/>
          <w:sz w:val="24"/>
          <w:szCs w:val="24"/>
          <w:lang w:bidi="ar-SA"/>
        </w:rPr>
        <w:t>Licensed Commercial Banks (</w:t>
      </w:r>
      <w:r>
        <w:rPr>
          <w:rFonts w:ascii="Times New Roman" w:hAnsi="Times New Roman" w:cs="Times New Roman"/>
          <w:sz w:val="24"/>
          <w:szCs w:val="24"/>
        </w:rPr>
        <w:t xml:space="preserve">LCB) and 3 </w:t>
      </w:r>
      <w:r>
        <w:rPr>
          <w:rFonts w:ascii="Times New Roman" w:hAnsi="Times New Roman" w:cs="Times New Roman"/>
          <w:sz w:val="24"/>
          <w:szCs w:val="24"/>
          <w:lang w:bidi="ar-SA"/>
        </w:rPr>
        <w:t>Licensed Specialized Banks  (</w:t>
      </w:r>
      <w:r>
        <w:rPr>
          <w:rFonts w:ascii="Times New Roman" w:hAnsi="Times New Roman" w:cs="Times New Roman"/>
          <w:sz w:val="24"/>
          <w:szCs w:val="24"/>
        </w:rPr>
        <w:t xml:space="preserve">LSB) in banking sector were taken using </w:t>
      </w:r>
      <w:r>
        <w:rPr>
          <w:rFonts w:ascii="Times New Roman" w:hAnsi="Times New Roman" w:cs="Times New Roman"/>
          <w:sz w:val="24"/>
          <w:szCs w:val="24"/>
          <w:lang w:val="en-GB"/>
        </w:rPr>
        <w:t>purposive sampling</w:t>
      </w:r>
      <w:r>
        <w:rPr>
          <w:rFonts w:ascii="Times New Roman" w:hAnsi="Times New Roman" w:cs="Times New Roman"/>
          <w:sz w:val="24"/>
          <w:szCs w:val="24"/>
        </w:rPr>
        <w:t xml:space="preserve"> method  based on the availability of data. 2019, 2020 and 2021 were selected as the time periods for this study. The primary reason for using the years 2019, 2020 and 2021 for this study was because of the more innovative and relatively effective data acquisition. For identification purpose following codes are given,</w:t>
      </w:r>
    </w:p>
    <w:p>
      <w:pPr>
        <w:numPr>
          <w:ilvl w:val="3"/>
          <w:numId w:val="2"/>
        </w:numPr>
        <w:spacing w:line="360" w:lineRule="auto"/>
        <w:ind w:left="1800"/>
        <w:contextualSpacing/>
        <w:jc w:val="both"/>
        <w:rPr>
          <w:rFonts w:ascii="Times New Roman" w:hAnsi="Times New Roman" w:cs="Times New Roman"/>
          <w:sz w:val="24"/>
          <w:szCs w:val="24"/>
          <w:lang w:bidi="ar-SA"/>
        </w:rPr>
      </w:pPr>
      <w:bookmarkStart w:id="4" w:name="_Hlk147908823"/>
      <w:r>
        <w:rPr>
          <w:rFonts w:ascii="Times New Roman" w:hAnsi="Times New Roman" w:cs="Times New Roman"/>
          <w:sz w:val="24"/>
          <w:szCs w:val="24"/>
          <w:lang w:bidi="ar-SA"/>
        </w:rPr>
        <w:t xml:space="preserve">Licensed Commercial Banks </w:t>
      </w:r>
      <w:bookmarkEnd w:id="4"/>
      <w:r>
        <w:rPr>
          <w:rFonts w:ascii="Times New Roman" w:hAnsi="Times New Roman" w:cs="Times New Roman"/>
          <w:sz w:val="24"/>
          <w:szCs w:val="24"/>
          <w:lang w:bidi="ar-SA"/>
        </w:rPr>
        <w:t>= LCB01 – LCB13</w:t>
      </w:r>
    </w:p>
    <w:p>
      <w:pPr>
        <w:numPr>
          <w:ilvl w:val="3"/>
          <w:numId w:val="2"/>
        </w:numPr>
        <w:spacing w:line="360" w:lineRule="auto"/>
        <w:ind w:left="1800"/>
        <w:contextualSpacing/>
        <w:jc w:val="both"/>
        <w:rPr>
          <w:rFonts w:ascii="Times New Roman" w:hAnsi="Times New Roman" w:cs="Times New Roman"/>
          <w:sz w:val="24"/>
          <w:szCs w:val="24"/>
          <w:lang w:bidi="ar-SA"/>
        </w:rPr>
      </w:pPr>
      <w:r>
        <w:rPr>
          <w:rFonts w:ascii="Times New Roman" w:hAnsi="Times New Roman" w:cs="Times New Roman"/>
          <w:sz w:val="24"/>
          <w:szCs w:val="24"/>
          <w:lang w:bidi="ar-SA"/>
        </w:rPr>
        <w:t>Licensed Specialized Banks   = LSB01 – LSB03</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sustainability reports, annual reports are used as the primary source for this study to cover up the  both shareholders and the general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{"citationItems":[{"id":"ITEM-1","itemData":{"DOI":"10.1108/09513570210440568","ISSN":"09513574","abstract":"Corporate annual reports are viewed through the lens of researchers of these documents. The aims are to obtain insight into how researchers view annual reports; to ascertain how the different ways of seeing the annual report relate to each other; and to draw out the gaps in this diverse research in a continuing attempt to understand its role and purpose. Selective examination of a decade of corporate annual report research (1990-2000) reveals how researchers have sought to find visibility and meaning. Few studies address the document as a whole, in terms of the integration of the messages between the various parts of the report. Explanation of the changing structure and content of annual reports remains divided, largely because of the differing perspectives of researchers. They have revealed diversity in the ways of seeing the annual report and a tension in understanding its overall purpose and role. © 2002, MCB UP Limited","author":[{"dropping-particle":"","family":"Stanton","given":"Patricia","non-dropping-particle":"","parse-names":false,"suffix":""},{"dropping-particle":"","family":"Stanton","given":"John","non-dropping-particle":"","parse-names":false,"suffix":""}],"container-title":"Accounting, Auditing &amp; Accountability Journal","id":"ITEM-1","issue":"4","issued":{"date-parts":[["2002"]]},"page":"478-500","title":"Corporate annual reports: Research perspectives used","type":"article-journal","volume":"15"},"uris":["http://www.mendeley.com/documents/?uuid=edc3960d-34e8-45ba-80ce-2cc32a3c044b"]}],"mendeley":{"formattedCitation":"(Stanton &amp; Stanton, 2002)","plainTextFormattedCitation":"(Stanton &amp; Stanton, 2002)","previouslyFormattedCitation":"(Stanton &amp; Stanton, 2002)"},"properties":{"noteIndex":0},"schema":"https://github.com/citation-style-language/schema/raw/master/csl-citation.json"}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(Stanton &amp; Stanton, 2002)</w:t>
      </w:r>
      <w:r>
        <w:rPr>
          <w:rFonts w:ascii="Times New Roman" w:hAnsi="Times New Roman" w:cs="Times New Roman"/>
          <w:sz w:val="24"/>
          <w:szCs w:val="24"/>
        </w:rPr>
        <w:fldChar w:fldCharType="end"/>
      </w:r>
      <w:r>
        <w:rPr>
          <w:rFonts w:ascii="Times New Roman" w:hAnsi="Times New Roman" w:cs="Times New Roman"/>
          <w:sz w:val="24"/>
          <w:szCs w:val="24"/>
        </w:rPr>
        <w:t xml:space="preserve">. Hence, the study used secondary data obtained from published sustainability reports in annual reports, non-financial disclosure documents, integrated reports, and companies’ websites.  Then, the method is used based on the interpretation of any potential qualitative and quantitative content that is inspired by the 17 goals included in non-financial statements (Cosma,  Venturelli, Schwizer,  &amp; Boscia, 2020).   </w:t>
      </w:r>
    </w:p>
    <w:p>
      <w:pPr>
        <w:spacing w:line="360" w:lineRule="auto"/>
        <w:jc w:val="both"/>
        <w:rPr>
          <w:rFonts w:ascii="Times New Roman" w:hAnsi="Times New Roman" w:cs="Times New Roman"/>
          <w:i/>
          <w:sz w:val="24"/>
          <w:szCs w:val="24"/>
          <w:lang w:bidi="ar-SA"/>
        </w:rPr>
      </w:pPr>
      <w:r>
        <w:rPr>
          <w:rFonts w:ascii="Times New Roman" w:hAnsi="Times New Roman" w:cs="Times New Roman"/>
          <w:sz w:val="24"/>
          <w:szCs w:val="24"/>
        </w:rPr>
        <w:t>To assess statements through observation, content analysis method used (Cosma,  Venturelli, Schwizer,  &amp; Boscia, 2020).    In order to evaluate the contribution made by banks to the SDGs, a compound index has been used in line with previous theoretical studies (Cosma,  Venturelli, Schwizer,  &amp; Boscia, 2020).   The index ranges from 0.06 as its lowest value to 100 as its highest value. At the same time  descriptive and nonparametric test has been used to identify the factors that differentiate banks' contributions to the SDGs (Cosma,  Venturelli, Schwizer,  &amp; Boscia, 2020).</w:t>
      </w:r>
    </w:p>
    <w:p>
      <w:pPr>
        <w:pStyle w:val="2"/>
        <w:numPr>
          <w:ilvl w:val="0"/>
          <w:numId w:val="0"/>
        </w:numPr>
        <w:spacing w:after="240" w:line="360" w:lineRule="auto"/>
        <w:ind w:left="432" w:hanging="432"/>
        <w:rPr>
          <w:rFonts w:cs="Times New Roman"/>
          <w:sz w:val="24"/>
          <w:szCs w:val="24"/>
        </w:rPr>
      </w:pPr>
      <w:bookmarkStart w:id="5" w:name="_Toc128087492"/>
      <w:r>
        <w:rPr>
          <w:rFonts w:cs="Times New Roman"/>
          <w:sz w:val="24"/>
          <w:szCs w:val="24"/>
        </w:rPr>
        <w:t>Results and Discussion</w:t>
      </w:r>
      <w:bookmarkEnd w:id="5"/>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shown figure 2, Sri Lankan bank more frequently included SDG 7 (affordable and clean energy), SDG 5 (concerning gender equality), SDG 8 (decent work and economic growth), SDG 9 (industry, innovation, and infrastructure) and SDG 12 (responsible consumption and production) in their reports. It showed that Sri Lankan banking industry is more concern on clean energy (12 out of 16 banks) . Results also revealed that SDG 14(concerning Life Below Water) and SDG 6(Clean Water and Sanitation) as least contributing SDGs in the banks. However, this is a significant situation because Sri Lanka is going through a period of crisis regarding water and related life. </w:t>
      </w:r>
    </w:p>
    <w:p>
      <w:pPr>
        <w:spacing w:line="360" w:lineRule="auto"/>
        <w:jc w:val="both"/>
        <w:rPr>
          <w:rFonts w:ascii="Times New Roman" w:hAnsi="Times New Roman" w:cs="Times New Roman"/>
          <w:sz w:val="24"/>
          <w:szCs w:val="24"/>
        </w:rPr>
      </w:pPr>
      <w:r>
        <w:rPr>
          <w:rFonts w:ascii="Times New Roman" w:hAnsi="Times New Roman" w:cs="Times New Roman"/>
          <w:sz w:val="24"/>
          <w:szCs w:val="24"/>
          <w:lang w:bidi="ar-SA"/>
        </w:rPr>
        <w:drawing>
          <wp:inline distT="0" distB="0" distL="0" distR="0">
            <wp:extent cx="4991100" cy="2173605"/>
            <wp:effectExtent l="0" t="0" r="0" b="171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4"/>
        <w:spacing w:line="360" w:lineRule="auto"/>
        <w:jc w:val="center"/>
        <w:rPr>
          <w:rFonts w:ascii="Times New Roman" w:hAnsi="Times New Roman" w:cs="Times New Roman"/>
          <w:b/>
          <w:bCs/>
          <w:i w:val="0"/>
          <w:iCs w:val="0"/>
          <w:color w:val="auto"/>
          <w:sz w:val="24"/>
          <w:szCs w:val="24"/>
        </w:rPr>
      </w:pPr>
      <w:bookmarkStart w:id="6" w:name="_Ref128262692"/>
      <w:r>
        <w:rPr>
          <w:rFonts w:ascii="Times New Roman" w:hAnsi="Times New Roman" w:cs="Times New Roman"/>
          <w:b/>
          <w:bCs/>
          <w:i w:val="0"/>
          <w:iCs w:val="0"/>
          <w:color w:val="auto"/>
          <w:sz w:val="24"/>
          <w:szCs w:val="24"/>
        </w:rPr>
        <w:t xml:space="preserve">Figure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Figure \* roman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i</w:t>
      </w:r>
      <w:r>
        <w:rPr>
          <w:rFonts w:ascii="Times New Roman" w:hAnsi="Times New Roman" w:cs="Times New Roman"/>
          <w:b/>
          <w:bCs/>
          <w:i w:val="0"/>
          <w:iCs w:val="0"/>
          <w:color w:val="auto"/>
          <w:sz w:val="24"/>
          <w:szCs w:val="24"/>
        </w:rPr>
        <w:fldChar w:fldCharType="end"/>
      </w:r>
      <w:bookmarkEnd w:id="6"/>
      <w:r>
        <w:rPr>
          <w:rFonts w:ascii="Times New Roman" w:hAnsi="Times New Roman" w:cs="Times New Roman"/>
          <w:b/>
          <w:bCs/>
          <w:i w:val="0"/>
          <w:iCs w:val="0"/>
          <w:color w:val="auto"/>
          <w:sz w:val="24"/>
          <w:szCs w:val="24"/>
        </w:rPr>
        <w:t xml:space="preserve"> :Priority SDGs for Sri Lankan Banks</w:t>
      </w:r>
    </w:p>
    <w:p>
      <w:pPr>
        <w:spacing w:line="360" w:lineRule="auto"/>
        <w:rPr>
          <w:rFonts w:ascii="Times New Roman" w:hAnsi="Times New Roman" w:cs="Times New Roman"/>
          <w:sz w:val="24"/>
          <w:szCs w:val="24"/>
        </w:rPr>
      </w:pPr>
      <w:r>
        <w:rPr>
          <w:rFonts w:ascii="Times New Roman" w:hAnsi="Times New Roman" w:cs="Times New Roman"/>
          <w:i/>
          <w:iCs/>
          <w:sz w:val="24"/>
          <w:szCs w:val="24"/>
        </w:rPr>
        <w:t>Source: Author Created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a report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{"citationItems":[{"id":"ITEM-1","itemData":{"author":[{"dropping-particle":"","family":"EBF-KPMG","given":"","non-dropping-particle":"","parse-names":false,"suffix":""}],"container-title":"Report","id":"ITEM-1","issued":{"date-parts":[["2021"]]},"title":"European Bank Practices","type":"article-journal","volume":"1"},"uris":["http://www.mendeley.com/documents/?uuid=3939f32e-61b7-430f-a18d-dbbb4221ed50"]}],"mendeley":{"formattedCitation":"(EBF-KPMG, 2021)","plainTextFormattedCitation":"(EBF-KPMG, 2021)","previouslyFormattedCitation":"(EBF-KPMG,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(EBF-KPMG, 2021)</w:t>
      </w:r>
      <w:r>
        <w:rPr>
          <w:rFonts w:ascii="Times New Roman" w:hAnsi="Times New Roman" w:cs="Times New Roman"/>
          <w:sz w:val="24"/>
          <w:szCs w:val="24"/>
        </w:rPr>
        <w:fldChar w:fldCharType="end"/>
      </w:r>
      <w:r>
        <w:rPr>
          <w:rFonts w:ascii="Times New Roman" w:hAnsi="Times New Roman" w:cs="Times New Roman"/>
          <w:sz w:val="24"/>
          <w:szCs w:val="24"/>
        </w:rPr>
        <w:t xml:space="preserve"> published by the European Bank Federation (EBF) and KPMG Spain, reported that greatest bank focus relate with  clean energy (SDG 7), economic growth and decent work (SDG 8), climate action (SDG 13),  sustainable cities and communities (SDG 11) and responsible consumption and production (SDG 12).  This confirms that the banks have paid more attention to the matters that directly affect them and more focused on making the much revenue showing the legitimacy gap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{"citationItems":[{"id":"ITEM-1","itemData":{"DOI":"10.18202/jamal.2015.04.6013","abstract":"Tujuan penelitian menjelaskan beberapa signifikansi teori dalam proses pemben- tukan lahirnya konsep CSR bagi perusahaan.Tanggung jawab dikomu- nikasikan oleh perusahaan kepada stakeholder melalui pengungkapan Corporate Social Responsibility (CSR). CSR menjadi sinyal yang diberikan pihak manajemen kepada seluruh stakeholder termasuk calon investor mengenai prospek perusahaan di masa depan serta menunjukkan nilai lebih yang dimiliki oleh perusahaan atas kepeduliannya terhadap dam- pak ekonomi, sosial dan lingkungan yang timbul dari aktivitas perusa- haan. Perbedaan kepentingan antara masyarakat dan perusahaan terha- dap penilaian dan harapan melahirkan legitimacy gap. Secara teoretikal konsep dapat dijelaskan bahwa pengungkapan CSR oleh pihak perusa- haan dapat meminimalkan Legitimacy gap. Abstract:","author":[{"dropping-particle":"","family":"","given":"","non-dropping-particle":"","parse-names":false,"suffix":""},{"dropping-particle":"","family":"","given":"","non-dropping-particle":"","parse-names":false,"suffix":""},{"dropping-particle":"","family":"Lindawati","given":"Ang Swat Lin","non-dropping-particle":"","parse-names":false,"suffix":""},{"dropping-particle":"","family":"Puspita","given":"Marsella Eka","non-dropping-particle":"","parse-names":false,"suffix":""}],"container-title":"Jurnal Akuntansi Multiparadigma","id":"ITEM-1","issued":{"date-parts":[["2015"]]},"page":"157-174","title":"Corporate Social Responsibility: Implikasi Stakeholder dan Legitimacy Gap dalam Peningkatan Kinerja Perusahaan","type":"article-journal"},"uris":["http://www.mendeley.com/documents/?uuid=4a637e15-3bf1-45df-ba05-04fc5384f1a1"]}],"mendeley":{"formattedCitation":"( et al., 2015)","manualFormatting":"( Ang and Masellaet, 2015)","plainTextFormattedCitation":"( et al., 2015)","previouslyFormattedCitation":"(Lindawati &amp; Puspita,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Ang and Masellaet,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same time, a study conducted by the EBF and KPMG Spain found that banks prioritize SDGs on which their financing activities can have the greatest impact rather than areas where their influence would come from their role as employers or purchasers of products or services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{"citationItems":[{"id":"ITEM-1","itemData":{"author":[{"dropping-particle":"","family":"EBF-KPMG","given":"","non-dropping-particle":"","parse-names":false,"suffix":""}],"container-title":"Report","id":"ITEM-1","issued":{"date-parts":[["2021"]]},"title":"European Bank Practices","type":"article-journal","volume":"1"},"uris":["http://www.mendeley.com/documents/?uuid=3939f32e-61b7-430f-a18d-dbbb4221ed50"]}],"mendeley":{"formattedCitation":"(EBF-KPMG, 2021)","plainTextFormattedCitation":"(EBF-KPMG, 2021)","previouslyFormattedCitation":"(EBF-KPMG,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(EBF-KPMG,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lang w:bidi="ar-SA"/>
        </w:rPr>
        <w:t xml:space="preserve">Table 1 presents the most and least reported SDGs based on bank category.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{"citationItems":[{"id":"ITEM-1","itemData":{"DOI":"10.1002/sd.1938","ISSN":"10991719","abstract":"The sustainable development goals (SDGs) reflect grand challenges that the global community needs to address in order to ensure economic welfare, environmental quality, social cohesion and prosperity for future generations. In this respect, the role of the banking sector, among other critical business entities and key stakeholders, is vital. The purpose of our paper is to examine how comprehensively the reported performance of banks aligns with the endorsement of SDGs. We employ the well-established framework of the Global Reporting Initiative (GRI) performance indicators for a comparative assessment of the nonfinancial performance disclosed in the annual sustainability reports. Focusing on a small sample of leading European banks, we find an overall low contribution to SDGs. Furthermore, each bank's contribution remains particularly heterogeneous towards most individual SDG goals. Likewise, bank-specific strategies drive the most extensively addressed SDGs, overlooking any critical importance of certain GRI indicators with multifaceted impact across several SDGs. The study sets forth managerial implications for improving effective reporting of SDG performance. It concludes with emerging opportunities for enhancing disclosure of SDGs contribution and highlights future research perspectives towards industry-wide shared-value appraisal under the scope of these pressing grand challenges.","author":[{"dropping-particle":"","family":"Avrampou","given":"Anna","non-dropping-particle":"","parse-names":false,"suffix":""},{"dropping-particle":"","family":"Skouloudis","given":"Antonis","non-dropping-particle":"","parse-names":false,"suffix":""},{"dropping-particle":"","family":"Iliopoulos","given":"George","non-dropping-particle":"","parse-names":false,"suffix":""},{"dropping-particle":"","family":"Khan","given":"Nadeem","non-dropping-particle":"","parse-names":false,"suffix":""}],"container-title":"Sustainable Development","id":"ITEM-1","issue":"4","issued":{"date-parts":[["2019"]]},"page":"743-757","title":"Advancing the Sustainable Development Goals: Evidence from leading European banks","type":"article-journal","volume":"27"},"uris":["http://www.mendeley.com/documents/?uuid=9fd247c1-cdf4-47d5-bf5e-3ed1f39c2475"]}],"mendeley":{"formattedCitation":"(Avrampou et al., 2019)","manualFormatting":"Avrampou et al., (2019)","plainTextFormattedCitation":"(Avrampou et al., 2019)","previouslyFormattedCitation":"(Avrampou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Avrampou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mentioned in their research  only three of the 17 SDGs have, on average, been exceeded such as SDG 4, 8 and 16.  Their findings also revealed that SDG criteria with the lowest scores are SDG17, 6, 14 ,15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{"citationItems":[{"id":"ITEM-1","itemData":{"DOI":"10.1002/sd.1938","ISSN":"10991719","abstract":"The sustainable development goals (SDGs) reflect grand challenges that the global community needs to address in order to ensure economic welfare, environmental quality, social cohesion and prosperity for future generations. In this respect, the role of the banking sector, among other critical business entities and key stakeholders, is vital. The purpose of our paper is to examine how comprehensively the reported performance of banks aligns with the endorsement of SDGs. We employ the well-established framework of the Global Reporting Initiative (GRI) performance indicators for a comparative assessment of the nonfinancial performance disclosed in the annual sustainability reports. Focusing on a small sample of leading European banks, we find an overall low contribution to SDGs. Furthermore, each bank's contribution remains particularly heterogeneous towards most individual SDG goals. Likewise, bank-specific strategies drive the most extensively addressed SDGs, overlooking any critical importance of certain GRI indicators with multifaceted impact across several SDGs. The study sets forth managerial implications for improving effective reporting of SDG performance. It concludes with emerging opportunities for enhancing disclosure of SDGs contribution and highlights future research perspectives towards industry-wide shared-value appraisal under the scope of these pressing grand challenges.","author":[{"dropping-particle":"","family":"Avrampou","given":"Anna","non-dropping-particle":"","parse-names":false,"suffix":""},{"dropping-particle":"","family":"Skouloudis","given":"Antonis","non-dropping-particle":"","parse-names":false,"suffix":""},{"dropping-particle":"","family":"Iliopoulos","given":"George","non-dropping-particle":"","parse-names":false,"suffix":""},{"dropping-particle":"","family":"Khan","given":"Nadeem","non-dropping-particle":"","parse-names":false,"suffix":""}],"container-title":"Sustainable Development","id":"ITEM-1","issue":"4","issued":{"date-parts":[["2019"]]},"page":"743-757","title":"Advancing the Sustainable Development Goals: Evidence from leading European banks","type":"article-journal","volume":"27"},"uris":["http://www.mendeley.com/documents/?uuid=9fd247c1-cdf4-47d5-bf5e-3ed1f39c2475"]}],"mendeley":{"formattedCitation":"(Avrampou et al., 2019)","manualFormatting":"(Avrampou et al., 2019)","plainTextFormattedCitation":"(Avrampou et al., 2019)","previouslyFormattedCitation":"(Avrampou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(Avrampou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There are tangential connections between money and the SDGs and other sectors’ activities are financed by the banks, and they may be harming society through their activities. Hence, banks may be negatively contributing  by providing funding to those companies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{"citationItems":[{"id":"ITEM-1","itemData":{"author":[{"dropping-particle":"","family":"Olaf Weber","given":"","non-dropping-particle":"","parse-names":false,"suffix":""}],"container-title":"Centre for International Governance Innovation","id":"ITEM-1","issued":{"date-parts":[["2018"]]},"page":"32","title":"The Financial Sector and the SDGs","type":"article-journal"},"uris":["http://www.mendeley.com/documents/?uuid=4fb9992e-c004-4baa-920f-1cbeceba5d82","http://www.mendeley.com/documents/?uuid=576f1de0-abf4-4445-b335-44cfc7a31fc8"]}],"mendeley":{"formattedCitation":"(Olaf Weber, 2018)","manualFormatting":"(Weber, 2018)","plainTextFormattedCitation":"(Olaf Weber, 2018)","previouslyFormattedCitation":"(Olaf Weber,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(Weber, 2018)</w:t>
      </w:r>
      <w:r>
        <w:rPr>
          <w:rFonts w:ascii="Times New Roman" w:hAnsi="Times New Roman" w:cs="Times New Roman"/>
          <w:sz w:val="24"/>
          <w:szCs w:val="24"/>
        </w:rPr>
        <w:fldChar w:fldCharType="end"/>
      </w:r>
      <w:r>
        <w:rPr>
          <w:rFonts w:ascii="Times New Roman" w:hAnsi="Times New Roman" w:cs="Times New Roman"/>
          <w:sz w:val="24"/>
          <w:szCs w:val="24"/>
        </w:rPr>
        <w:t>.</w:t>
      </w:r>
    </w:p>
    <w:p>
      <w:pPr>
        <w:spacing w:line="360" w:lineRule="auto"/>
        <w:jc w:val="both"/>
        <w:rPr>
          <w:rFonts w:ascii="Times New Roman" w:hAnsi="Times New Roman" w:cs="Times New Roman"/>
          <w:sz w:val="24"/>
          <w:szCs w:val="24"/>
        </w:rPr>
      </w:pPr>
    </w:p>
    <w:p>
      <w:pPr>
        <w:pStyle w:val="14"/>
        <w:keepNext/>
        <w:spacing w:after="0" w:line="360" w:lineRule="auto"/>
        <w:jc w:val="center"/>
        <w:rPr>
          <w:rFonts w:ascii="Times New Roman" w:hAnsi="Times New Roman" w:cs="Times New Roman"/>
          <w:b/>
          <w:bCs/>
          <w:i w:val="0"/>
          <w:iCs w:val="0"/>
          <w:color w:val="auto"/>
          <w:sz w:val="24"/>
          <w:szCs w:val="24"/>
        </w:rPr>
      </w:pPr>
      <w:bookmarkStart w:id="7" w:name="_Ref128263306"/>
      <w:r>
        <w:rPr>
          <w:rFonts w:ascii="Times New Roman" w:hAnsi="Times New Roman" w:cs="Times New Roman"/>
          <w:b/>
          <w:bCs/>
          <w:i w:val="0"/>
          <w:iCs w:val="0"/>
          <w:color w:val="auto"/>
          <w:sz w:val="24"/>
          <w:szCs w:val="24"/>
        </w:rPr>
        <w:t>Table 1</w:t>
      </w:r>
      <w:bookmarkEnd w:id="7"/>
      <w:r>
        <w:rPr>
          <w:rFonts w:ascii="Times New Roman" w:hAnsi="Times New Roman" w:cs="Times New Roman"/>
          <w:b/>
          <w:bCs/>
          <w:i w:val="0"/>
          <w:iCs w:val="0"/>
          <w:color w:val="auto"/>
          <w:sz w:val="24"/>
          <w:szCs w:val="24"/>
        </w:rPr>
        <w:t xml:space="preserve">: The Most and Least Reported SDGs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6"/>
        <w:gridCol w:w="2914"/>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76" w:type="dxa"/>
            <w:tcBorders>
              <w:bottom w:val="single" w:color="auto" w:sz="4" w:space="0"/>
            </w:tcBorders>
            <w:noWrap/>
          </w:tcPr>
          <w:p>
            <w:pPr>
              <w:spacing w:after="120" w:line="276" w:lineRule="auto"/>
              <w:jc w:val="center"/>
              <w:rPr>
                <w:rFonts w:ascii="Times New Roman" w:hAnsi="Times New Roman" w:cs="Times New Roman"/>
                <w:sz w:val="24"/>
                <w:szCs w:val="24"/>
                <w:lang w:bidi="ar-SA"/>
              </w:rPr>
            </w:pPr>
            <w:r>
              <w:rPr>
                <w:rFonts w:ascii="Times New Roman" w:hAnsi="Times New Roman" w:cs="Times New Roman"/>
                <w:sz w:val="24"/>
                <w:szCs w:val="24"/>
                <w:lang w:bidi="ar-SA"/>
              </w:rPr>
              <w:t>Business Model</w:t>
            </w:r>
          </w:p>
        </w:tc>
        <w:tc>
          <w:tcPr>
            <w:tcW w:w="2990" w:type="dxa"/>
            <w:tcBorders>
              <w:bottom w:val="single" w:color="auto" w:sz="4" w:space="0"/>
            </w:tcBorders>
            <w:noWrap/>
          </w:tcPr>
          <w:p>
            <w:pPr>
              <w:spacing w:after="120" w:line="276" w:lineRule="auto"/>
              <w:jc w:val="center"/>
              <w:rPr>
                <w:rFonts w:ascii="Times New Roman" w:hAnsi="Times New Roman" w:cs="Times New Roman"/>
                <w:sz w:val="24"/>
                <w:szCs w:val="24"/>
                <w:lang w:bidi="ar-SA"/>
              </w:rPr>
            </w:pPr>
            <w:r>
              <w:rPr>
                <w:rFonts w:ascii="Times New Roman" w:hAnsi="Times New Roman" w:cs="Times New Roman"/>
                <w:sz w:val="24"/>
                <w:szCs w:val="24"/>
                <w:lang w:bidi="ar-SA"/>
              </w:rPr>
              <w:t>Most Reported</w:t>
            </w:r>
          </w:p>
        </w:tc>
        <w:tc>
          <w:tcPr>
            <w:tcW w:w="1830" w:type="dxa"/>
            <w:tcBorders>
              <w:bottom w:val="single" w:color="auto" w:sz="4" w:space="0"/>
            </w:tcBorders>
            <w:noWrap/>
          </w:tcPr>
          <w:p>
            <w:pPr>
              <w:spacing w:after="120" w:line="276" w:lineRule="auto"/>
              <w:jc w:val="center"/>
              <w:rPr>
                <w:rFonts w:ascii="Times New Roman" w:hAnsi="Times New Roman" w:cs="Times New Roman"/>
                <w:sz w:val="24"/>
                <w:szCs w:val="24"/>
                <w:lang w:bidi="ar-SA"/>
              </w:rPr>
            </w:pPr>
            <w:r>
              <w:rPr>
                <w:rFonts w:ascii="Times New Roman" w:hAnsi="Times New Roman" w:cs="Times New Roman"/>
                <w:sz w:val="24"/>
                <w:szCs w:val="24"/>
                <w:lang w:bidi="ar-SA"/>
              </w:rPr>
              <w:t>Least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76" w:type="dxa"/>
            <w:tcBorders>
              <w:top w:val="single" w:color="auto" w:sz="4" w:space="0"/>
              <w:bottom w:val="single" w:color="auto" w:sz="4" w:space="0"/>
            </w:tcBorders>
            <w:noWrap/>
          </w:tcPr>
          <w:p>
            <w:pPr>
              <w:spacing w:after="120" w:line="276"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Licensed Commercial Banks  </w:t>
            </w:r>
          </w:p>
        </w:tc>
        <w:tc>
          <w:tcPr>
            <w:tcW w:w="2990" w:type="dxa"/>
            <w:tcBorders>
              <w:top w:val="single" w:color="auto" w:sz="4" w:space="0"/>
              <w:bottom w:val="single" w:color="auto" w:sz="4" w:space="0"/>
            </w:tcBorders>
            <w:noWrap/>
          </w:tcPr>
          <w:p>
            <w:pPr>
              <w:spacing w:after="120" w:line="276" w:lineRule="auto"/>
              <w:rPr>
                <w:rFonts w:ascii="Times New Roman" w:hAnsi="Times New Roman" w:cs="Times New Roman"/>
                <w:sz w:val="24"/>
                <w:szCs w:val="24"/>
                <w:lang w:bidi="ar-SA"/>
              </w:rPr>
            </w:pPr>
            <w:r>
              <w:rPr>
                <w:rFonts w:ascii="Times New Roman" w:hAnsi="Times New Roman" w:cs="Times New Roman"/>
                <w:sz w:val="24"/>
                <w:szCs w:val="24"/>
                <w:lang w:bidi="ar-SA"/>
              </w:rPr>
              <w:t>SDG 07/12</w:t>
            </w:r>
          </w:p>
        </w:tc>
        <w:tc>
          <w:tcPr>
            <w:tcW w:w="1830" w:type="dxa"/>
            <w:tcBorders>
              <w:top w:val="single" w:color="auto" w:sz="4" w:space="0"/>
              <w:bottom w:val="single" w:color="auto" w:sz="4" w:space="0"/>
            </w:tcBorders>
            <w:noWrap/>
          </w:tcPr>
          <w:p>
            <w:pPr>
              <w:spacing w:after="120" w:line="276" w:lineRule="auto"/>
              <w:rPr>
                <w:rFonts w:ascii="Times New Roman" w:hAnsi="Times New Roman" w:cs="Times New Roman"/>
                <w:sz w:val="24"/>
                <w:szCs w:val="24"/>
                <w:lang w:bidi="ar-SA"/>
              </w:rPr>
            </w:pPr>
            <w:r>
              <w:rPr>
                <w:rFonts w:ascii="Times New Roman" w:hAnsi="Times New Roman" w:cs="Times New Roman"/>
                <w:sz w:val="24"/>
                <w:szCs w:val="24"/>
                <w:lang w:bidi="ar-SA"/>
              </w:rPr>
              <w:t>SDG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76" w:type="dxa"/>
            <w:tcBorders>
              <w:top w:val="single" w:color="auto" w:sz="4" w:space="0"/>
              <w:bottom w:val="single" w:color="auto" w:sz="4" w:space="0"/>
            </w:tcBorders>
            <w:noWrap/>
          </w:tcPr>
          <w:p>
            <w:pPr>
              <w:spacing w:after="120" w:line="276"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Licensed Specialized Banks   </w:t>
            </w:r>
          </w:p>
        </w:tc>
        <w:tc>
          <w:tcPr>
            <w:tcW w:w="2990" w:type="dxa"/>
            <w:tcBorders>
              <w:top w:val="single" w:color="auto" w:sz="4" w:space="0"/>
              <w:bottom w:val="single" w:color="auto" w:sz="4" w:space="0"/>
            </w:tcBorders>
            <w:noWrap/>
          </w:tcPr>
          <w:p>
            <w:pPr>
              <w:spacing w:after="120" w:line="276" w:lineRule="auto"/>
              <w:rPr>
                <w:rFonts w:ascii="Times New Roman" w:hAnsi="Times New Roman" w:cs="Times New Roman"/>
                <w:sz w:val="24"/>
                <w:szCs w:val="24"/>
                <w:lang w:bidi="ar-SA"/>
              </w:rPr>
            </w:pPr>
            <w:r>
              <w:rPr>
                <w:rFonts w:ascii="Times New Roman" w:hAnsi="Times New Roman" w:cs="Times New Roman"/>
                <w:sz w:val="24"/>
                <w:szCs w:val="24"/>
                <w:lang w:bidi="ar-SA"/>
              </w:rPr>
              <w:t>SDG 01/02/07/08/09/10/11</w:t>
            </w:r>
          </w:p>
        </w:tc>
        <w:tc>
          <w:tcPr>
            <w:tcW w:w="1830" w:type="dxa"/>
            <w:tcBorders>
              <w:top w:val="single" w:color="auto" w:sz="4" w:space="0"/>
              <w:bottom w:val="single" w:color="auto" w:sz="4" w:space="0"/>
            </w:tcBorders>
            <w:noWrap/>
          </w:tcPr>
          <w:p>
            <w:pPr>
              <w:spacing w:after="120" w:line="276" w:lineRule="auto"/>
              <w:rPr>
                <w:rFonts w:ascii="Times New Roman" w:hAnsi="Times New Roman" w:cs="Times New Roman"/>
                <w:sz w:val="24"/>
                <w:szCs w:val="24"/>
                <w:lang w:bidi="ar-SA"/>
              </w:rPr>
            </w:pPr>
            <w:r>
              <w:rPr>
                <w:rFonts w:ascii="Times New Roman" w:hAnsi="Times New Roman" w:cs="Times New Roman"/>
                <w:sz w:val="24"/>
                <w:szCs w:val="24"/>
                <w:lang w:bidi="ar-SA"/>
              </w:rPr>
              <w:t>SDG 06/14</w:t>
            </w:r>
          </w:p>
        </w:tc>
      </w:tr>
    </w:tbl>
    <w:p>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Source: Author Created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Findings reveled through content analysis showed that, there was a lack of quantitative reporting of sustainable development information by the banks of Sri Lanka. Approximately 13% presented information on a comparable basis and  25% of banks in Sri Lanka do not contain any information about sustainable development goals in their non-financial reports. 50% of banks tend to report on sustainable development in the GRI index (</w:t>
      </w:r>
      <w:r>
        <w:rPr>
          <w:rFonts w:ascii="Times New Roman" w:hAnsi="Times New Roman" w:cs="Times New Roman"/>
          <w:color w:val="FF0000"/>
          <w:sz w:val="24"/>
          <w:szCs w:val="24"/>
        </w:rPr>
        <w:fldChar w:fldCharType="begin"/>
      </w:r>
      <w:r>
        <w:rPr>
          <w:rFonts w:ascii="Times New Roman" w:hAnsi="Times New Roman" w:cs="Times New Roman"/>
          <w:sz w:val="24"/>
          <w:szCs w:val="24"/>
        </w:rPr>
        <w:instrText xml:space="preserve"> REF _Ref122085688 \h </w:instrText>
      </w:r>
      <w:r>
        <w:rPr>
          <w:rFonts w:ascii="Times New Roman" w:hAnsi="Times New Roman" w:cs="Times New Roman"/>
          <w:color w:val="FF0000"/>
          <w:sz w:val="24"/>
          <w:szCs w:val="24"/>
        </w:rPr>
        <w:instrText xml:space="preserve"> \* MERGEFORMAT </w:instrText>
      </w:r>
      <w:r>
        <w:rPr>
          <w:rFonts w:ascii="Times New Roman" w:hAnsi="Times New Roman" w:cs="Times New Roman"/>
          <w:color w:val="FF0000"/>
          <w:sz w:val="24"/>
          <w:szCs w:val="24"/>
        </w:rPr>
        <w:fldChar w:fldCharType="separate"/>
      </w:r>
      <w:r>
        <w:rPr>
          <w:rFonts w:ascii="Times New Roman" w:hAnsi="Times New Roman" w:cs="Times New Roman"/>
          <w:sz w:val="24"/>
          <w:szCs w:val="24"/>
        </w:rPr>
        <w:t>Figure 3</w:t>
      </w:r>
      <w:r>
        <w:rPr>
          <w:rFonts w:ascii="Times New Roman" w:hAnsi="Times New Roman" w:cs="Times New Roman"/>
          <w:color w:val="FF0000"/>
          <w:sz w:val="24"/>
          <w:szCs w:val="24"/>
        </w:rPr>
        <w:fldChar w:fldCharType="end"/>
      </w:r>
      <w:r>
        <w:rPr>
          <w:rFonts w:ascii="Times New Roman" w:hAnsi="Times New Roman" w:cs="Times New Roman"/>
          <w:sz w:val="24"/>
          <w:szCs w:val="24"/>
        </w:rPr>
        <w:t xml:space="preserve">). </w:t>
      </w:r>
    </w:p>
    <w:p>
      <w:pPr>
        <w:keepNext/>
        <w:spacing w:line="360" w:lineRule="auto"/>
        <w:rPr>
          <w:rFonts w:ascii="Times New Roman" w:hAnsi="Times New Roman" w:cs="Times New Roman"/>
          <w:sz w:val="24"/>
          <w:szCs w:val="24"/>
        </w:rPr>
      </w:pPr>
      <w:r>
        <w:rPr>
          <w:rFonts w:ascii="Times New Roman" w:hAnsi="Times New Roman" w:cs="Times New Roman"/>
          <w:sz w:val="24"/>
          <w:szCs w:val="24"/>
          <w:lang w:bidi="ar-SA"/>
        </w:rPr>
        <w:drawing>
          <wp:inline distT="0" distB="0" distL="0" distR="0">
            <wp:extent cx="5410200" cy="1858010"/>
            <wp:effectExtent l="0" t="0" r="0" b="889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4"/>
        <w:keepNext/>
        <w:spacing w:line="276" w:lineRule="auto"/>
        <w:jc w:val="center"/>
        <w:rPr>
          <w:rFonts w:ascii="Times New Roman" w:hAnsi="Times New Roman" w:cs="Times New Roman"/>
          <w:b/>
          <w:bCs/>
          <w:i w:val="0"/>
          <w:iCs w:val="0"/>
          <w:color w:val="auto"/>
          <w:sz w:val="24"/>
          <w:szCs w:val="24"/>
        </w:rPr>
      </w:pPr>
      <w:bookmarkStart w:id="8" w:name="_Ref122085688"/>
      <w:bookmarkStart w:id="9" w:name="_Toc128087514"/>
      <w:r>
        <w:rPr>
          <w:rFonts w:ascii="Times New Roman" w:hAnsi="Times New Roman" w:cs="Times New Roman"/>
          <w:b/>
          <w:bCs/>
          <w:i w:val="0"/>
          <w:iCs w:val="0"/>
          <w:color w:val="auto"/>
          <w:sz w:val="24"/>
          <w:szCs w:val="24"/>
        </w:rPr>
        <w:t>Figure 3</w:t>
      </w:r>
      <w:bookmarkEnd w:id="8"/>
      <w:r>
        <w:rPr>
          <w:rFonts w:ascii="Times New Roman" w:hAnsi="Times New Roman" w:cs="Times New Roman"/>
          <w:b/>
          <w:bCs/>
          <w:i w:val="0"/>
          <w:iCs w:val="0"/>
          <w:color w:val="auto"/>
          <w:sz w:val="24"/>
          <w:szCs w:val="24"/>
        </w:rPr>
        <w:t>: Number of Banks that Included About SDGs Under Sections in Annual Reports.</w:t>
      </w:r>
      <w:bookmarkEnd w:id="9"/>
    </w:p>
    <w:p>
      <w:pPr>
        <w:spacing w:line="360" w:lineRule="auto"/>
        <w:rPr>
          <w:rFonts w:ascii="Times New Roman" w:hAnsi="Times New Roman" w:cs="Times New Roman"/>
          <w:i/>
          <w:iCs/>
          <w:color w:val="767171" w:themeColor="background2" w:themeShade="80"/>
          <w:sz w:val="24"/>
          <w:szCs w:val="24"/>
        </w:rPr>
      </w:pPr>
      <w:r>
        <w:rPr>
          <w:rFonts w:ascii="Times New Roman" w:hAnsi="Times New Roman" w:cs="Times New Roman"/>
          <w:sz w:val="24"/>
          <w:szCs w:val="24"/>
        </w:rPr>
        <w:t xml:space="preserve"> </w:t>
      </w:r>
      <w:r>
        <w:rPr>
          <w:rFonts w:ascii="Times New Roman" w:hAnsi="Times New Roman" w:cs="Times New Roman"/>
          <w:i/>
          <w:iCs/>
          <w:color w:val="767171" w:themeColor="background2" w:themeShade="80"/>
          <w:sz w:val="24"/>
          <w:szCs w:val="24"/>
        </w:rPr>
        <w:t>Source: Author Created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Responses to the demands of suppliers, institutions (regulators) and lenders through SDGs are at a very low level (</w:t>
      </w:r>
      <w:r>
        <w:rPr>
          <w:rFonts w:ascii="Times New Roman" w:hAnsi="Times New Roman" w:cs="Times New Roman"/>
          <w:color w:val="FF0000"/>
          <w:sz w:val="24"/>
          <w:szCs w:val="24"/>
        </w:rPr>
        <w:fldChar w:fldCharType="begin"/>
      </w:r>
      <w:r>
        <w:rPr>
          <w:rFonts w:ascii="Times New Roman" w:hAnsi="Times New Roman" w:cs="Times New Roman"/>
          <w:sz w:val="24"/>
          <w:szCs w:val="24"/>
        </w:rPr>
        <w:instrText xml:space="preserve"> REF _Ref122085749 \h </w:instrText>
      </w:r>
      <w:r>
        <w:rPr>
          <w:rFonts w:ascii="Times New Roman" w:hAnsi="Times New Roman" w:cs="Times New Roman"/>
          <w:color w:val="FF0000"/>
          <w:sz w:val="24"/>
          <w:szCs w:val="24"/>
        </w:rPr>
        <w:instrText xml:space="preserve"> \* MERGEFORMAT </w:instrText>
      </w:r>
      <w:r>
        <w:rPr>
          <w:rFonts w:ascii="Times New Roman" w:hAnsi="Times New Roman" w:cs="Times New Roman"/>
          <w:color w:val="FF0000"/>
          <w:sz w:val="24"/>
          <w:szCs w:val="24"/>
        </w:rPr>
        <w:fldChar w:fldCharType="separate"/>
      </w:r>
      <w:r>
        <w:rPr>
          <w:rFonts w:ascii="Times New Roman" w:hAnsi="Times New Roman" w:cs="Times New Roman"/>
          <w:sz w:val="24"/>
          <w:szCs w:val="24"/>
        </w:rPr>
        <w:t>Figure</w:t>
      </w:r>
      <w:r>
        <w:rPr>
          <w:rFonts w:ascii="Times New Roman" w:hAnsi="Times New Roman" w:cs="Times New Roman"/>
          <w:b/>
          <w:bCs/>
          <w:i/>
          <w:iCs/>
          <w:sz w:val="24"/>
          <w:szCs w:val="24"/>
        </w:rPr>
        <w:t xml:space="preserve"> </w:t>
      </w:r>
      <w:r>
        <w:rPr>
          <w:rFonts w:ascii="Times New Roman" w:hAnsi="Times New Roman" w:cs="Times New Roman"/>
          <w:color w:val="FF0000"/>
          <w:sz w:val="24"/>
          <w:szCs w:val="24"/>
        </w:rPr>
        <w:fldChar w:fldCharType="end"/>
      </w:r>
      <w:r>
        <w:rPr>
          <w:rFonts w:ascii="Times New Roman" w:hAnsi="Times New Roman" w:cs="Times New Roman"/>
          <w:sz w:val="24"/>
          <w:szCs w:val="24"/>
        </w:rPr>
        <w:t xml:space="preserve">), that is, less than 30% of the banks have responded to this. </w:t>
      </w:r>
    </w:p>
    <w:p>
      <w:pPr>
        <w:keepNext/>
        <w:spacing w:line="360" w:lineRule="auto"/>
        <w:rPr>
          <w:rFonts w:ascii="Times New Roman" w:hAnsi="Times New Roman" w:cs="Times New Roman"/>
          <w:sz w:val="24"/>
          <w:szCs w:val="24"/>
        </w:rPr>
      </w:pPr>
      <w:r>
        <w:rPr>
          <w:rFonts w:ascii="Times New Roman" w:hAnsi="Times New Roman" w:cs="Times New Roman"/>
          <w:sz w:val="24"/>
          <w:szCs w:val="24"/>
          <w:lang w:bidi="ar-SA"/>
        </w:rPr>
        <w:drawing>
          <wp:inline distT="0" distB="0" distL="0" distR="0">
            <wp:extent cx="5213350" cy="1555750"/>
            <wp:effectExtent l="0" t="0" r="6350"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keepNext/>
        <w:spacing w:line="360" w:lineRule="auto"/>
        <w:jc w:val="center"/>
        <w:rPr>
          <w:rFonts w:ascii="Times New Roman" w:hAnsi="Times New Roman" w:cs="Times New Roman"/>
          <w:b/>
          <w:bCs/>
          <w:i w:val="0"/>
          <w:iCs w:val="0"/>
          <w:color w:val="auto"/>
          <w:sz w:val="24"/>
          <w:szCs w:val="24"/>
        </w:rPr>
      </w:pPr>
      <w:bookmarkStart w:id="10" w:name="_Ref122085749"/>
      <w:bookmarkStart w:id="11" w:name="_Toc128087515"/>
      <w:r>
        <w:rPr>
          <w:rFonts w:ascii="Times New Roman" w:hAnsi="Times New Roman" w:cs="Times New Roman"/>
          <w:b/>
          <w:bCs/>
          <w:i w:val="0"/>
          <w:iCs w:val="0"/>
          <w:color w:val="auto"/>
          <w:sz w:val="24"/>
          <w:szCs w:val="24"/>
        </w:rPr>
        <w:t xml:space="preserve">Figure </w:t>
      </w:r>
      <w:bookmarkEnd w:id="10"/>
      <w:r>
        <w:rPr>
          <w:rFonts w:ascii="Times New Roman" w:hAnsi="Times New Roman" w:cs="Times New Roman"/>
          <w:b/>
          <w:bCs/>
          <w:i w:val="0"/>
          <w:iCs w:val="0"/>
          <w:color w:val="auto"/>
          <w:sz w:val="24"/>
          <w:szCs w:val="24"/>
        </w:rPr>
        <w:t>4: Number of Banks that Respond to Stakeholder Demand Under SDGs</w:t>
      </w:r>
      <w:bookmarkEnd w:id="11"/>
    </w:p>
    <w:p>
      <w:pPr>
        <w:spacing w:line="360" w:lineRule="auto"/>
        <w:rPr>
          <w:rFonts w:ascii="Times New Roman" w:hAnsi="Times New Roman" w:cs="Times New Roman"/>
          <w:sz w:val="24"/>
          <w:szCs w:val="24"/>
        </w:rPr>
      </w:pPr>
      <w:r>
        <w:rPr>
          <w:rFonts w:ascii="Times New Roman" w:hAnsi="Times New Roman" w:cs="Times New Roman"/>
          <w:i/>
          <w:iCs/>
          <w:color w:val="767171" w:themeColor="background2" w:themeShade="80"/>
          <w:sz w:val="24"/>
          <w:szCs w:val="24"/>
        </w:rPr>
        <w:t>Source: Author Created</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the stakeholder theory, a company is founded to serve its operating customers as well as its stakeholders, including investors, creditors, customers, suppliers, the government, and the local community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{"citationItems":[{"id":"ITEM-1","itemData":{"DOI":"10.20469/ijbas.10005-4","author":[{"dropping-particle":"","family":"ILIAS","given":"AZLEEN","non-dropping-particle":"","parse-names":false,"suffix":""},{"dropping-particle":"","family":"RAZAK","given":"MOHD ZULKEFLEE ABD","non-dropping-particle":"","parse-names":false,"suffix":""},{"dropping-particle":"","family":"RAHMAN","given":"RAHIDA ABDUL","non-dropping-particle":"","parse-names":false,"suffix":""}],"container-title":"International Journal of Business and Administrative Studies","id":"ITEM-1","issue":"4","issued":{"date-parts":[["2015"]]},"title":"The Quality of Non-Financial Information on Internet Business Reporting for Malaysian Public Listed Companies (PLCs)","type":"article-journal","volume":"1"},"uris":["http://www.mendeley.com/documents/?uuid=274c9c08-0d74-4b57-a41d-3658f60d5e02"]}],"mendeley":{"formattedCitation":"(ILIAS et al., 2015)","plainTextFormattedCitation":"(ILIAS et al., 2015)","previouslyFormattedCitation":"(ILIAS et al.,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(ILIAS et al., 2015)</w:t>
      </w:r>
      <w:r>
        <w:rPr>
          <w:rFonts w:ascii="Times New Roman" w:hAnsi="Times New Roman" w:cs="Times New Roman"/>
          <w:sz w:val="24"/>
          <w:szCs w:val="24"/>
        </w:rPr>
        <w:fldChar w:fldCharType="end"/>
      </w:r>
      <w:r>
        <w:rPr>
          <w:rFonts w:ascii="Times New Roman" w:hAnsi="Times New Roman" w:cs="Times New Roman"/>
          <w:sz w:val="24"/>
          <w:szCs w:val="24"/>
        </w:rPr>
        <w: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Table 2</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shows the descriptive statistics results and Licensed Specialized Banks have a higher average score when it comes to the business model. The high standard deviation value, however, points to many circumstances that exist within the same business model. Licensed commercial banks fall under the category that, in comparison, supports the SDGs the least. The contribution from Sri Lankan banks seems to not be in a solid position when considering the fact that the score can have an average value between 0.06 and 100. The median is slightly below average, given 43% of banks scored lower than the median and 23% of banks do not report on the SDGs. </w:t>
      </w:r>
    </w:p>
    <w:p>
      <w:pPr>
        <w:pStyle w:val="14"/>
        <w:keepNext/>
        <w:spacing w:line="276" w:lineRule="auto"/>
        <w:jc w:val="center"/>
        <w:rPr>
          <w:rFonts w:ascii="Times New Roman" w:hAnsi="Times New Roman" w:cs="Times New Roman"/>
          <w:b/>
          <w:bCs/>
          <w:i w:val="0"/>
          <w:iCs w:val="0"/>
          <w:color w:val="auto"/>
          <w:sz w:val="24"/>
          <w:szCs w:val="24"/>
        </w:rPr>
      </w:pPr>
      <w:bookmarkStart w:id="12" w:name="_Ref122084809"/>
      <w:bookmarkStart w:id="13" w:name="_Toc128085615"/>
      <w:r>
        <w:rPr>
          <w:rFonts w:ascii="Times New Roman" w:hAnsi="Times New Roman" w:cs="Times New Roman"/>
          <w:b/>
          <w:bCs/>
          <w:i w:val="0"/>
          <w:iCs w:val="0"/>
          <w:color w:val="auto"/>
          <w:sz w:val="24"/>
          <w:szCs w:val="24"/>
        </w:rPr>
        <w:t>Table 2</w:t>
      </w:r>
      <w:bookmarkEnd w:id="12"/>
      <w:r>
        <w:rPr>
          <w:rFonts w:ascii="Times New Roman" w:hAnsi="Times New Roman" w:cs="Times New Roman"/>
          <w:b/>
          <w:bCs/>
          <w:i w:val="0"/>
          <w:iCs w:val="0"/>
          <w:color w:val="auto"/>
          <w:sz w:val="24"/>
          <w:szCs w:val="24"/>
        </w:rPr>
        <w:t xml:space="preserve">: Statistical values linked to the score of the </w:t>
      </w:r>
      <w:bookmarkEnd w:id="13"/>
      <w:r>
        <w:rPr>
          <w:rFonts w:ascii="Times New Roman" w:hAnsi="Times New Roman" w:cs="Times New Roman"/>
          <w:b/>
          <w:bCs/>
          <w:i w:val="0"/>
          <w:iCs w:val="0"/>
          <w:color w:val="auto"/>
          <w:sz w:val="24"/>
          <w:szCs w:val="24"/>
        </w:rPr>
        <w:t>score of the listed and non-listed banks.</w:t>
      </w:r>
    </w:p>
    <w:tbl>
      <w:tblPr>
        <w:tblStyle w:val="12"/>
        <w:tblW w:w="8199" w:type="dxa"/>
        <w:tblInd w:w="0" w:type="dxa"/>
        <w:tblLayout w:type="fixed"/>
        <w:tblCellMar>
          <w:top w:w="0" w:type="dxa"/>
          <w:left w:w="0" w:type="dxa"/>
          <w:bottom w:w="0" w:type="dxa"/>
          <w:right w:w="0" w:type="dxa"/>
        </w:tblCellMar>
      </w:tblPr>
      <w:tblGrid>
        <w:gridCol w:w="2880"/>
        <w:gridCol w:w="633"/>
        <w:gridCol w:w="1082"/>
        <w:gridCol w:w="1255"/>
        <w:gridCol w:w="1080"/>
        <w:gridCol w:w="1269"/>
      </w:tblGrid>
      <w:tr>
        <w:tblPrEx>
          <w:tblCellMar>
            <w:top w:w="0" w:type="dxa"/>
            <w:left w:w="0" w:type="dxa"/>
            <w:bottom w:w="0" w:type="dxa"/>
            <w:right w:w="0" w:type="dxa"/>
          </w:tblCellMar>
        </w:tblPrEx>
        <w:trPr>
          <w:cantSplit/>
        </w:trPr>
        <w:tc>
          <w:tcPr>
            <w:tcW w:w="2880" w:type="dxa"/>
            <w:tcBorders>
              <w:bottom w:val="single" w:color="auto" w:sz="4" w:space="0"/>
            </w:tcBorders>
            <w:shd w:val="clear" w:color="auto" w:fill="FFFFFF"/>
            <w:vAlign w:val="bottom"/>
          </w:tcPr>
          <w:p>
            <w:pPr>
              <w:spacing w:after="0" w:line="276" w:lineRule="auto"/>
              <w:rPr>
                <w:rFonts w:ascii="Times New Roman" w:hAnsi="Times New Roman" w:cs="Times New Roman"/>
                <w:sz w:val="24"/>
                <w:szCs w:val="24"/>
              </w:rPr>
            </w:pPr>
          </w:p>
        </w:tc>
        <w:tc>
          <w:tcPr>
            <w:tcW w:w="633"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r>
              <w:rPr>
                <w:rFonts w:ascii="Times New Roman" w:hAnsi="Times New Roman" w:cs="Times New Roman"/>
                <w:sz w:val="24"/>
                <w:szCs w:val="24"/>
              </w:rPr>
              <w:t>N</w:t>
            </w:r>
          </w:p>
        </w:tc>
        <w:tc>
          <w:tcPr>
            <w:tcW w:w="1082"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r>
              <w:rPr>
                <w:rFonts w:ascii="Times New Roman" w:hAnsi="Times New Roman" w:cs="Times New Roman"/>
                <w:sz w:val="24"/>
                <w:szCs w:val="24"/>
              </w:rPr>
              <w:t>Minimum</w:t>
            </w:r>
          </w:p>
        </w:tc>
        <w:tc>
          <w:tcPr>
            <w:tcW w:w="1255"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r>
              <w:rPr>
                <w:rFonts w:ascii="Times New Roman" w:hAnsi="Times New Roman" w:cs="Times New Roman"/>
                <w:sz w:val="24"/>
                <w:szCs w:val="24"/>
              </w:rPr>
              <w:t>Maximum</w:t>
            </w:r>
          </w:p>
        </w:tc>
        <w:tc>
          <w:tcPr>
            <w:tcW w:w="1080"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r>
              <w:rPr>
                <w:rFonts w:ascii="Times New Roman" w:hAnsi="Times New Roman" w:cs="Times New Roman"/>
                <w:sz w:val="24"/>
                <w:szCs w:val="24"/>
              </w:rPr>
              <w:t>Mean</w:t>
            </w:r>
          </w:p>
        </w:tc>
        <w:tc>
          <w:tcPr>
            <w:tcW w:w="1269"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r>
              <w:rPr>
                <w:rFonts w:ascii="Times New Roman" w:hAnsi="Times New Roman" w:cs="Times New Roman"/>
                <w:sz w:val="24"/>
                <w:szCs w:val="24"/>
              </w:rPr>
              <w:t>Std. Deviation</w:t>
            </w:r>
          </w:p>
        </w:tc>
      </w:tr>
      <w:tr>
        <w:tblPrEx>
          <w:tblCellMar>
            <w:top w:w="0" w:type="dxa"/>
            <w:left w:w="0" w:type="dxa"/>
            <w:bottom w:w="0" w:type="dxa"/>
            <w:right w:w="0" w:type="dxa"/>
          </w:tblCellMar>
        </w:tblPrEx>
        <w:trPr>
          <w:cantSplit/>
        </w:trPr>
        <w:tc>
          <w:tcPr>
            <w:tcW w:w="2880" w:type="dxa"/>
            <w:tcBorders>
              <w:bottom w:val="single" w:color="auto" w:sz="4" w:space="0"/>
            </w:tcBorders>
            <w:shd w:val="clear" w:color="auto" w:fill="FFFFFF"/>
            <w:vAlign w:val="bottom"/>
          </w:tcPr>
          <w:p>
            <w:pPr>
              <w:spacing w:after="0" w:line="276" w:lineRule="auto"/>
              <w:rPr>
                <w:rFonts w:ascii="Times New Roman" w:hAnsi="Times New Roman" w:cs="Times New Roman"/>
                <w:sz w:val="24"/>
                <w:szCs w:val="24"/>
              </w:rPr>
            </w:pPr>
            <w:r>
              <w:rPr>
                <w:rFonts w:ascii="Times New Roman" w:hAnsi="Times New Roman" w:cs="Times New Roman"/>
                <w:sz w:val="24"/>
                <w:szCs w:val="24"/>
              </w:rPr>
              <w:t>Business Model</w:t>
            </w:r>
          </w:p>
        </w:tc>
        <w:tc>
          <w:tcPr>
            <w:tcW w:w="633"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p>
        </w:tc>
        <w:tc>
          <w:tcPr>
            <w:tcW w:w="1082"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p>
        </w:tc>
        <w:tc>
          <w:tcPr>
            <w:tcW w:w="1255"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p>
        </w:tc>
        <w:tc>
          <w:tcPr>
            <w:tcW w:w="1080"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p>
        </w:tc>
        <w:tc>
          <w:tcPr>
            <w:tcW w:w="1269" w:type="dxa"/>
            <w:tcBorders>
              <w:bottom w:val="single" w:color="auto" w:sz="4" w:space="0"/>
            </w:tcBorders>
            <w:shd w:val="clear" w:color="auto" w:fill="FFFFFF"/>
            <w:vAlign w:val="bottom"/>
          </w:tcPr>
          <w:p>
            <w:pPr>
              <w:spacing w:after="0" w:line="276" w:lineRule="auto"/>
              <w:ind w:left="60" w:right="60"/>
              <w:jc w:val="center"/>
              <w:rPr>
                <w:rFonts w:ascii="Times New Roman" w:hAnsi="Times New Roman" w:cs="Times New Roman"/>
                <w:sz w:val="24"/>
                <w:szCs w:val="24"/>
              </w:rPr>
            </w:pP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Licensed Commercial Banks</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13</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.06</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49.02</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15.7240</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17.30980</w:t>
            </w:r>
          </w:p>
        </w:tc>
      </w:tr>
      <w:tr>
        <w:tblPrEx>
          <w:tblCellMar>
            <w:top w:w="0" w:type="dxa"/>
            <w:left w:w="0" w:type="dxa"/>
            <w:bottom w:w="0" w:type="dxa"/>
            <w:right w:w="0" w:type="dxa"/>
          </w:tblCellMar>
        </w:tblPrEx>
        <w:trPr>
          <w:cantSplit/>
          <w:trHeight w:val="359" w:hRule="atLeas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Licensed Specialized Banks</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3</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6.62</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58.33</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30.8007</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26.02006</w:t>
            </w: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Stock Exchange Listing</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Listed</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11</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.06</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49.02</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16.1430</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14.82953</w:t>
            </w: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Not listed</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5</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.06</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58.33</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23.8480</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27.84094</w:t>
            </w: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Integrated Reporting</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Integrated report</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12</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.06</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58.33</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23.7388</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19.32750</w:t>
            </w: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No integrated report</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4</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.06</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11.76</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2.9871</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5.85172</w:t>
            </w: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Ownership</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p>
        </w:tc>
      </w:tr>
      <w:tr>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Non-Government</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12</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.06</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49.02</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14.2565</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15.32365</w:t>
            </w:r>
          </w:p>
        </w:tc>
      </w:tr>
      <w:tr>
        <w:tblPrEx>
          <w:tblCellMar>
            <w:top w:w="0" w:type="dxa"/>
            <w:left w:w="0" w:type="dxa"/>
            <w:bottom w:w="0" w:type="dxa"/>
            <w:right w:w="0" w:type="dxa"/>
          </w:tblCellMar>
        </w:tblPrEx>
        <w:trPr>
          <w:cantSplit/>
        </w:trPr>
        <w:tc>
          <w:tcPr>
            <w:tcW w:w="2880" w:type="dxa"/>
            <w:tcBorders>
              <w:top w:val="single" w:color="auto" w:sz="4" w:space="0"/>
              <w:bottom w:val="single" w:color="auto" w:sz="4" w:space="0"/>
            </w:tcBorders>
            <w:shd w:val="clear" w:color="auto" w:fill="FFFFFF"/>
          </w:tcPr>
          <w:p>
            <w:pPr>
              <w:spacing w:after="0" w:line="276" w:lineRule="auto"/>
              <w:ind w:left="60" w:right="60"/>
              <w:rPr>
                <w:rFonts w:ascii="Times New Roman" w:hAnsi="Times New Roman" w:cs="Times New Roman"/>
                <w:sz w:val="24"/>
                <w:szCs w:val="24"/>
              </w:rPr>
            </w:pPr>
            <w:r>
              <w:rPr>
                <w:rFonts w:ascii="Times New Roman" w:hAnsi="Times New Roman" w:cs="Times New Roman"/>
                <w:sz w:val="24"/>
                <w:szCs w:val="24"/>
              </w:rPr>
              <w:t>Government</w:t>
            </w:r>
          </w:p>
        </w:tc>
        <w:tc>
          <w:tcPr>
            <w:tcW w:w="633"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4</w:t>
            </w:r>
          </w:p>
        </w:tc>
        <w:tc>
          <w:tcPr>
            <w:tcW w:w="1082"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6.62</w:t>
            </w:r>
          </w:p>
        </w:tc>
        <w:tc>
          <w:tcPr>
            <w:tcW w:w="1255"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58.33</w:t>
            </w:r>
          </w:p>
        </w:tc>
        <w:tc>
          <w:tcPr>
            <w:tcW w:w="1080"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31.4338</w:t>
            </w:r>
          </w:p>
        </w:tc>
        <w:tc>
          <w:tcPr>
            <w:tcW w:w="1269" w:type="dxa"/>
            <w:tcBorders>
              <w:top w:val="single" w:color="auto" w:sz="4" w:space="0"/>
              <w:bottom w:val="single" w:color="auto" w:sz="4" w:space="0"/>
            </w:tcBorders>
            <w:shd w:val="clear" w:color="auto" w:fill="FFFFFF"/>
            <w:vAlign w:val="center"/>
          </w:tcPr>
          <w:p>
            <w:pPr>
              <w:spacing w:after="0" w:line="276" w:lineRule="auto"/>
              <w:ind w:left="60" w:right="60"/>
              <w:jc w:val="right"/>
              <w:rPr>
                <w:rFonts w:ascii="Times New Roman" w:hAnsi="Times New Roman" w:cs="Times New Roman"/>
                <w:sz w:val="24"/>
                <w:szCs w:val="24"/>
              </w:rPr>
            </w:pPr>
            <w:r>
              <w:rPr>
                <w:rFonts w:ascii="Times New Roman" w:hAnsi="Times New Roman" w:cs="Times New Roman"/>
                <w:sz w:val="24"/>
                <w:szCs w:val="24"/>
              </w:rPr>
              <w:t>26.04842</w:t>
            </w:r>
          </w:p>
        </w:tc>
      </w:tr>
    </w:tbl>
    <w:p>
      <w:pPr>
        <w:spacing w:line="360" w:lineRule="auto"/>
        <w:rPr>
          <w:rFonts w:ascii="Times New Roman" w:hAnsi="Times New Roman" w:cs="Times New Roman"/>
          <w:sz w:val="24"/>
          <w:szCs w:val="24"/>
        </w:rPr>
      </w:pPr>
      <w:r>
        <w:rPr>
          <w:rFonts w:ascii="Times New Roman" w:hAnsi="Times New Roman" w:cs="Times New Roman"/>
          <w:i/>
          <w:iCs/>
          <w:color w:val="767171" w:themeColor="background2" w:themeShade="80"/>
          <w:sz w:val="24"/>
          <w:szCs w:val="24"/>
        </w:rPr>
        <w:t>Source: Author Created</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maximum score of 87.5 shows that there is significant room for improvement along the path of focusing on and reporting on the SDGs. One LSB has demonstrated the greatest substantial contribution to the SDGs. This level of the score is attributable to the bank's publication of a thorough non-financial disclosure in every section of its report, both implicitly and explicitly, and in the general interest of seven different types of stakeholders, in addition to reporting on all 17 goals. In contrast, the banks with the lowest scores are LCBs, of which two are listed banks and two are not. The number of stakeholders is likewise fairly small, with only 2 to 4 different sorts.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Similarly, when assessing listed and non-listed banks using statistical data, higher average scores were shown by the non-listed banks.  however, this result was driven by the impact of government banks. it can be proven by the higher standard deviation for that category. Then without considering the government banks, other banks of the non-listed category show lower values of scores.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Referring to the integrated reports contribute slightly more to average values than banks that do not adhere to the integrated reporting framework. This has emphasized the impact of integrated reporting on sustainable reporting.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government banks have the greatest average scores when it comes to ownership. This rather unexpected finding supports government banks' growing interest in sustainable development objectives. A substantial standard deviation in these banks, however, supports that government banks contribute at different levels.</w:t>
      </w:r>
    </w:p>
    <w:p>
      <w:pPr>
        <w:spacing w:line="360" w:lineRule="auto"/>
        <w:jc w:val="both"/>
        <w:rPr>
          <w:rFonts w:ascii="Times New Roman" w:hAnsi="Times New Roman" w:cs="Times New Roman"/>
          <w:sz w:val="24"/>
          <w:szCs w:val="24"/>
        </w:rPr>
      </w:pPr>
      <w:bookmarkStart w:id="14" w:name="_Ref128088176"/>
      <w:bookmarkStart w:id="15" w:name="_Toc128085623"/>
      <w:r>
        <w:rPr>
          <w:rFonts w:ascii="Times New Roman" w:hAnsi="Times New Roman" w:cs="Times New Roman"/>
          <w:sz w:val="24"/>
          <w:szCs w:val="24"/>
        </w:rPr>
        <w:t>The table 3 shows the findings of Mann-Whitney U Test and the null hypothesis (p-value &lt; 0.05) is rejected only regarding the integrated reporting. Therefore, it can be affirmed that integrated reporting may differentiate the contribution to the SDGs. In all other categories, the hypothesis was not supported. It showed that  adoption of integrated reporting appears to differentiate banks in terms of their contribution to the SDG and business model, stock exchange listing, or ownership represent discriminatory factors in the contribution of banks toward the SDGs.</w:t>
      </w:r>
    </w:p>
    <w:p>
      <w:pPr>
        <w:pStyle w:val="14"/>
        <w:keepNext/>
        <w:spacing w:line="360" w:lineRule="auto"/>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Table 3</w:t>
      </w:r>
      <w:bookmarkEnd w:id="14"/>
      <w:r>
        <w:rPr>
          <w:rFonts w:ascii="Times New Roman" w:hAnsi="Times New Roman" w:cs="Times New Roman"/>
          <w:b/>
          <w:bCs/>
          <w:i w:val="0"/>
          <w:iCs w:val="0"/>
          <w:color w:val="auto"/>
          <w:sz w:val="24"/>
          <w:szCs w:val="24"/>
        </w:rPr>
        <w:t>: Summary of the Findings of Mann-Whitney U Test.</w:t>
      </w:r>
      <w:bookmarkEnd w:id="15"/>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4"/>
        <w:gridCol w:w="3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4205" w:type="dxa"/>
            <w:tcBorders>
              <w:bottom w:val="single" w:color="auto" w:sz="4" w:space="0"/>
            </w:tcBorders>
          </w:tcPr>
          <w:p>
            <w:pPr>
              <w:spacing w:after="0" w:line="360" w:lineRule="auto"/>
              <w:jc w:val="center"/>
              <w:rPr>
                <w:rFonts w:ascii="Times New Roman" w:hAnsi="Times New Roman" w:cs="Times New Roman"/>
                <w:sz w:val="24"/>
                <w:szCs w:val="24"/>
                <w:lang w:bidi="si-LK"/>
              </w:rPr>
            </w:pPr>
            <w:r>
              <w:rPr>
                <w:rFonts w:ascii="Times New Roman" w:hAnsi="Times New Roman" w:cs="Times New Roman"/>
                <w:sz w:val="24"/>
                <w:szCs w:val="24"/>
                <w:lang w:bidi="si-LK"/>
              </w:rPr>
              <w:t>Grouping Variable</w:t>
            </w:r>
          </w:p>
        </w:tc>
        <w:tc>
          <w:tcPr>
            <w:tcW w:w="4101" w:type="dxa"/>
            <w:tcBorders>
              <w:bottom w:val="single" w:color="auto" w:sz="4" w:space="0"/>
            </w:tcBorders>
          </w:tcPr>
          <w:p>
            <w:pPr>
              <w:spacing w:after="0" w:line="360" w:lineRule="auto"/>
              <w:jc w:val="center"/>
              <w:rPr>
                <w:rFonts w:ascii="Times New Roman" w:hAnsi="Times New Roman" w:cs="Times New Roman"/>
                <w:sz w:val="24"/>
                <w:szCs w:val="24"/>
                <w:lang w:bidi="si-LK"/>
              </w:rPr>
            </w:pPr>
            <w:r>
              <w:rPr>
                <w:rFonts w:ascii="Times New Roman" w:hAnsi="Times New Roman" w:cs="Times New Roman"/>
                <w:sz w:val="24"/>
                <w:szCs w:val="24"/>
                <w:lang w:bidi="si-LK"/>
              </w:rPr>
              <w:t>Sig.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5" w:type="dxa"/>
            <w:tcBorders>
              <w:top w:val="single" w:color="auto" w:sz="4" w:space="0"/>
              <w:bottom w:val="single" w:color="auto" w:sz="4" w:space="0"/>
            </w:tcBorders>
          </w:tcPr>
          <w:p>
            <w:pPr>
              <w:spacing w:after="0" w:line="360" w:lineRule="auto"/>
              <w:rPr>
                <w:rFonts w:ascii="Times New Roman" w:hAnsi="Times New Roman" w:cs="Times New Roman"/>
                <w:sz w:val="24"/>
                <w:szCs w:val="24"/>
                <w:lang w:bidi="si-LK"/>
              </w:rPr>
            </w:pPr>
            <w:r>
              <w:rPr>
                <w:rFonts w:ascii="Times New Roman" w:hAnsi="Times New Roman" w:cs="Times New Roman"/>
                <w:sz w:val="24"/>
                <w:szCs w:val="24"/>
                <w:lang w:bidi="si-LK"/>
              </w:rPr>
              <w:t>Business Model</w:t>
            </w:r>
          </w:p>
        </w:tc>
        <w:tc>
          <w:tcPr>
            <w:tcW w:w="4101" w:type="dxa"/>
            <w:tcBorders>
              <w:top w:val="single" w:color="auto" w:sz="4" w:space="0"/>
              <w:bottom w:val="single" w:color="auto" w:sz="4" w:space="0"/>
            </w:tcBorders>
          </w:tcPr>
          <w:p>
            <w:pPr>
              <w:spacing w:after="0" w:line="360" w:lineRule="auto"/>
              <w:jc w:val="center"/>
              <w:rPr>
                <w:rFonts w:ascii="Times New Roman" w:hAnsi="Times New Roman" w:cs="Times New Roman"/>
                <w:sz w:val="24"/>
                <w:szCs w:val="24"/>
                <w:lang w:bidi="si-LK"/>
              </w:rPr>
            </w:pPr>
            <w:r>
              <w:rPr>
                <w:rFonts w:ascii="Times New Roman" w:hAnsi="Times New Roman" w:cs="Times New Roman"/>
                <w:sz w:val="24"/>
                <w:szCs w:val="24"/>
                <w:lang w:bidi="si-LK"/>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5" w:type="dxa"/>
            <w:tcBorders>
              <w:top w:val="single" w:color="auto" w:sz="4" w:space="0"/>
              <w:bottom w:val="single" w:color="auto" w:sz="4" w:space="0"/>
            </w:tcBorders>
          </w:tcPr>
          <w:p>
            <w:pPr>
              <w:spacing w:after="0" w:line="360" w:lineRule="auto"/>
              <w:rPr>
                <w:rFonts w:ascii="Times New Roman" w:hAnsi="Times New Roman" w:cs="Times New Roman"/>
                <w:sz w:val="24"/>
                <w:szCs w:val="24"/>
                <w:lang w:bidi="si-LK"/>
              </w:rPr>
            </w:pPr>
            <w:r>
              <w:rPr>
                <w:rFonts w:ascii="Times New Roman" w:hAnsi="Times New Roman" w:cs="Times New Roman"/>
                <w:sz w:val="24"/>
                <w:szCs w:val="24"/>
                <w:lang w:bidi="si-LK"/>
              </w:rPr>
              <w:t>Stock Exchange Listing</w:t>
            </w:r>
          </w:p>
        </w:tc>
        <w:tc>
          <w:tcPr>
            <w:tcW w:w="4101" w:type="dxa"/>
            <w:tcBorders>
              <w:top w:val="single" w:color="auto" w:sz="4" w:space="0"/>
              <w:bottom w:val="single" w:color="auto" w:sz="4" w:space="0"/>
            </w:tcBorders>
          </w:tcPr>
          <w:p>
            <w:pPr>
              <w:spacing w:after="0" w:line="360" w:lineRule="auto"/>
              <w:jc w:val="center"/>
              <w:rPr>
                <w:rFonts w:ascii="Times New Roman" w:hAnsi="Times New Roman" w:cs="Times New Roman"/>
                <w:sz w:val="24"/>
                <w:szCs w:val="24"/>
                <w:lang w:bidi="si-LK"/>
              </w:rPr>
            </w:pPr>
            <w:r>
              <w:rPr>
                <w:rFonts w:ascii="Times New Roman" w:hAnsi="Times New Roman" w:cs="Times New Roman"/>
                <w:sz w:val="24"/>
                <w:szCs w:val="24"/>
                <w:lang w:bidi="si-LK"/>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5" w:type="dxa"/>
            <w:tcBorders>
              <w:top w:val="single" w:color="auto" w:sz="4" w:space="0"/>
              <w:bottom w:val="single" w:color="auto" w:sz="4" w:space="0"/>
            </w:tcBorders>
          </w:tcPr>
          <w:p>
            <w:pPr>
              <w:spacing w:after="0" w:line="360" w:lineRule="auto"/>
              <w:rPr>
                <w:rFonts w:ascii="Times New Roman" w:hAnsi="Times New Roman" w:cs="Times New Roman"/>
                <w:sz w:val="24"/>
                <w:szCs w:val="24"/>
                <w:lang w:bidi="si-LK"/>
              </w:rPr>
            </w:pPr>
            <w:r>
              <w:rPr>
                <w:rFonts w:ascii="Times New Roman" w:hAnsi="Times New Roman" w:cs="Times New Roman"/>
                <w:sz w:val="24"/>
                <w:szCs w:val="24"/>
                <w:lang w:bidi="si-LK"/>
              </w:rPr>
              <w:t>Integrated Reporting</w:t>
            </w:r>
          </w:p>
        </w:tc>
        <w:tc>
          <w:tcPr>
            <w:tcW w:w="4101" w:type="dxa"/>
            <w:tcBorders>
              <w:top w:val="single" w:color="auto" w:sz="4" w:space="0"/>
              <w:bottom w:val="single" w:color="auto" w:sz="4" w:space="0"/>
            </w:tcBorders>
          </w:tcPr>
          <w:p>
            <w:pPr>
              <w:spacing w:after="0" w:line="360" w:lineRule="auto"/>
              <w:jc w:val="center"/>
              <w:rPr>
                <w:rFonts w:ascii="Times New Roman" w:hAnsi="Times New Roman" w:cs="Times New Roman"/>
                <w:sz w:val="24"/>
                <w:szCs w:val="24"/>
                <w:lang w:bidi="si-LK"/>
              </w:rPr>
            </w:pPr>
            <w:r>
              <w:rPr>
                <w:rFonts w:ascii="Times New Roman" w:hAnsi="Times New Roman" w:cs="Times New Roman"/>
                <w:sz w:val="24"/>
                <w:szCs w:val="24"/>
                <w:lang w:bidi="si-LK"/>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5" w:type="dxa"/>
            <w:tcBorders>
              <w:top w:val="single" w:color="auto" w:sz="4" w:space="0"/>
              <w:bottom w:val="single" w:color="auto" w:sz="4" w:space="0"/>
            </w:tcBorders>
          </w:tcPr>
          <w:p>
            <w:pPr>
              <w:spacing w:after="0" w:line="360" w:lineRule="auto"/>
              <w:rPr>
                <w:rFonts w:ascii="Times New Roman" w:hAnsi="Times New Roman" w:cs="Times New Roman"/>
                <w:sz w:val="24"/>
                <w:szCs w:val="24"/>
                <w:lang w:bidi="si-LK"/>
              </w:rPr>
            </w:pPr>
            <w:r>
              <w:rPr>
                <w:rFonts w:ascii="Times New Roman" w:hAnsi="Times New Roman" w:cs="Times New Roman"/>
                <w:sz w:val="24"/>
                <w:szCs w:val="24"/>
                <w:lang w:bidi="si-LK"/>
              </w:rPr>
              <w:t>Ownership</w:t>
            </w:r>
          </w:p>
        </w:tc>
        <w:tc>
          <w:tcPr>
            <w:tcW w:w="4101" w:type="dxa"/>
            <w:tcBorders>
              <w:top w:val="single" w:color="auto" w:sz="4" w:space="0"/>
              <w:bottom w:val="single" w:color="auto" w:sz="4" w:space="0"/>
            </w:tcBorders>
          </w:tcPr>
          <w:p>
            <w:pPr>
              <w:spacing w:after="0" w:line="360" w:lineRule="auto"/>
              <w:jc w:val="center"/>
              <w:rPr>
                <w:rFonts w:ascii="Times New Roman" w:hAnsi="Times New Roman" w:cs="Times New Roman"/>
                <w:sz w:val="24"/>
                <w:szCs w:val="24"/>
                <w:lang w:bidi="si-LK"/>
              </w:rPr>
            </w:pPr>
            <w:r>
              <w:rPr>
                <w:rFonts w:ascii="Times New Roman" w:hAnsi="Times New Roman" w:cs="Times New Roman"/>
                <w:sz w:val="24"/>
                <w:szCs w:val="24"/>
                <w:lang w:bidi="si-LK"/>
              </w:rPr>
              <w:t>.271</w:t>
            </w:r>
          </w:p>
        </w:tc>
      </w:tr>
    </w:tbl>
    <w:p>
      <w:pPr>
        <w:spacing w:line="360" w:lineRule="auto"/>
        <w:rPr>
          <w:rFonts w:ascii="Times New Roman" w:hAnsi="Times New Roman" w:cs="Times New Roman"/>
          <w:sz w:val="24"/>
          <w:szCs w:val="24"/>
        </w:rPr>
      </w:pPr>
      <w:r>
        <w:rPr>
          <w:rFonts w:ascii="Times New Roman" w:hAnsi="Times New Roman" w:cs="Times New Roman"/>
          <w:i/>
          <w:iCs/>
          <w:sz w:val="24"/>
          <w:szCs w:val="24"/>
        </w:rPr>
        <w:t>Source: Author Created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demonstrated that integrated reporting obviously influences the SDGs approaches among banks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{"citationItems":[{"id":"ITEM-1","itemData":{"DOI":"10.1111/jifm.12015","ISSN":"09541314","abstract":"This paper has three main aims. First, the paper introduces the concept of integrated reporting (&lt;IR&gt;) as described by the International Integrated Reporting Council (IIRC). A background to the development of the &lt;IR&gt; concept over the 4-year period from the inception of the IIRC in 2010 is provided, culminating in the release by the IIRC of a Consultation Draft (CD) of the &lt;IR&gt; framework in March 2013. Second, the paper discusses key issues currently being debated relating to the CD that the IIRC will need to resolve prior to the expected release of their &lt;IR&gt; framework in late 2013. This discussion is based on issues identified and reported to the IIRC by a subcommittee of the International Association for Accounting Education and Research (IAAER) comprised of international accounting academics. Finally, the paper identifies a range of potential research issues relating to the development and implementation of &lt;IR&gt;. © 2014 John Wiley &amp; Sons Ltd.","author":[{"dropping-particle":"","family":"Cheng","given":"Mandy","non-dropping-particle":"","parse-names":false,"suffix":""},{"dropping-particle":"","family":"Green","given":"Wendy","non-dropping-particle":"","parse-names":false,"suffix":""},{"dropping-particle":"","family":"Conradie","given":"Pieter","non-dropping-particle":"","parse-names":false,"suffix":""},{"dropping-particle":"","family":"Konishi","given":"Noriyuki","non-dropping-particle":"","parse-names":false,"suffix":""},{"dropping-particle":"","family":"Romi","given":"Andrea","non-dropping-particle":"","parse-names":false,"suffix":""}],"container-title":"Journal of International Financial Management and Accounting","id":"ITEM-1","issue":"1","issued":{"date-parts":[["2014"]]},"page":"90-119","title":"The International Integrated Reporting Framework: Key Issues and Future Research Opportunities","type":"article-journal","volume":"25"},"uris":["http://www.mendeley.com/documents/?uuid=2cff7256-bdf4-4a02-a79f-be4f425c153c"]}],"mendeley":{"formattedCitation":"(Cheng et al., 2014)","plainTextFormattedCitation":"(Cheng et al., 2014)","previouslyFormattedCitation":"(Cheng et al.,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(Cheng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Moreover, studies showed that how integrated reporting may enhance the execution of actions and the monitoring of their progress and literature has examined the significance of integration in SDGs as a method of planning activities to achieve sustainable development and accountability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{"citationItems":[{"id":"ITEM-1","itemData":{"author":[{"dropping-particle":"","family":"UNDG","given":"","non-dropping-particle":"","parse-names":false,"suffix":""}],"id":"ITEM-1","issued":{"date-parts":[["2017"]]},"page":"1-62","title":"Guidelines To Support Country Reporting on the Sustainable Development Goals","type":"article-journal"},"uris":["http://www.mendeley.com/documents/?uuid=9c26af7e-7efa-4f60-a05e-20c78ee744bf"]}],"mendeley":{"formattedCitation":"(UNDG, 2017)","plainTextFormattedCitation":"(UNDG, 2017)","previouslyFormattedCitation":"(UNDG,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(UNDG, 2017,</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{"citationItems":[{"id":"ITEM-1","itemData":{"abstract":"Leadership Council of the Sustainable Development Solutions Network (LCSDGN)","author":[{"dropping-particle":"","family":"Sustainable Development Solutions Network","given":"","non-dropping-particle":"","parse-names":false,"suffix":""}],"container-title":"A report by the Leadership Council of the Sustainable Development Solutions Network","id":"ITEM-1","issued":{"date-parts":[["2015"]]},"page":"160","title":"Indicators and a Monitoring Framework for the Sustainable Development Goals: Launching a data revolution for the SDGs","type":"article-journal"},"uris":["http://www.mendeley.com/documents/?uuid=e9391612-4b74-4a26-8ce9-7bab7ee5832b"]}],"mendeley":{"formattedCitation":"(Sustainable Development Solutions Network, 2015)","plainTextFormattedCitation":"(Sustainable Development Solutions Network, 2015)","previouslyFormattedCitation":"(Sustainable Development Solutions Network,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Sustainable Development Solutions Network, 2015)</w:t>
      </w:r>
      <w:r>
        <w:rPr>
          <w:rFonts w:ascii="Times New Roman" w:hAnsi="Times New Roman" w:cs="Times New Roman"/>
          <w:sz w:val="24"/>
          <w:szCs w:val="24"/>
        </w:rPr>
        <w:fldChar w:fldCharType="end"/>
      </w:r>
      <w:r>
        <w:rPr>
          <w:rFonts w:ascii="Times New Roman" w:hAnsi="Times New Roman" w:cs="Times New Roman"/>
          <w:sz w:val="24"/>
          <w:szCs w:val="24"/>
        </w:rPr>
        <w:t xml:space="preserve">. Furthermore, the ways in which SDGs interact, from indivisible to canceling, will influence how SDGs and associated targets should be communicated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10.1038/534320a","ISSN":"14764687","PMID":"27306173","author":[{"dropping-particle":"","family":"Nilsson","given":"Måns","non-dropping-particle":"","parse-names":false,"suffix":""},{"dropping-particle":"","family":"Griggs","given":"Dave","non-dropping-particle":"","parse-names":false,"suffix":""},{"dropping-particle":"","family":"Visbeck","given":"Martin","non-dropping-particle":"","parse-names":false,"suffix":""}],"container-title":"Nature","id":"ITEM-1","issue":"7607","issued":{"date-parts":[["2016"]]},"page":"320-322","title":"Policy: Map the interactions between Sustainable Development Goals","type":"article-journal","volume":"534"},"uris":["http://www.mendeley.com/documents/?uuid=d4246efa-97b1-4df0-9b56-2a2ccd738ea1"]}],"mendeley":{"formattedCitation":"(Nilsson et al., 2016)","plainTextFormattedCitation":"(Nilsson et al., 2016)","previouslyFormattedCitation":"(Nilsson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(Nilsson et al., 2016, </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chmidt","given":"Stefanie","non-dropping-particle":"","parse-names":false,"suffix":""},{"dropping-particle":"","family":"Neumann","given":"Barbara","non-dropping-particle":"","parse-names":false,"suffix":""},{"dropping-particle":"","family":"Waweru","given":"Yvonne","non-dropping-particle":"","parse-names":false,"suffix":""},{"dropping-particle":"","family":"Durussel","given":"Carole","non-dropping-particle":"","parse-names":false,"suffix":""},{"dropping-particle":"","family":"Unger","given":"Sebastian","non-dropping-particle":"","parse-names":false,"suffix":""},{"dropping-particle":"","family":"Visbeck","given":"Martin","non-dropping-particle":"","parse-names":false,"suffix":""}],"id":"ITEM-1","issued":{"date-parts":[["0"]]},"title":"No </w:instrText>
      </w:r>
      <w:r>
        <w:rPr>
          <w:rFonts w:ascii="Times New Roman" w:hAnsi="Times New Roman" w:eastAsia="MS Gothic" w:cs="Times New Roman"/>
          <w:sz w:val="24"/>
          <w:szCs w:val="24"/>
        </w:rPr>
        <w:instrText xml:space="preserve">主観的健康感を中心とした在宅高齢者における</w:instrText>
      </w:r>
      <w:r>
        <w:rPr>
          <w:rFonts w:ascii="Times New Roman" w:hAnsi="Times New Roman" w:cs="Times New Roman"/>
          <w:sz w:val="24"/>
          <w:szCs w:val="24"/>
        </w:rPr>
        <w:instrText xml:space="preserve"> </w:instrText>
      </w:r>
      <w:r>
        <w:rPr>
          <w:rFonts w:ascii="Times New Roman" w:hAnsi="Times New Roman" w:eastAsia="MS Gothic" w:cs="Times New Roman"/>
          <w:sz w:val="24"/>
          <w:szCs w:val="24"/>
        </w:rPr>
        <w:instrText xml:space="preserve">健康関連指標に関する共分散構造分析</w:instrText>
      </w:r>
      <w:r>
        <w:rPr>
          <w:rFonts w:ascii="Times New Roman" w:hAnsi="Times New Roman" w:cs="Times New Roman"/>
          <w:sz w:val="24"/>
          <w:szCs w:val="24"/>
        </w:rPr>
        <w:instrText xml:space="preserve">Title","type":"article-journal"},"uris":["http://www.mendeley.com/documents/?uuid=23adc9c2-1dec-45d5-b4b0-ace475e54394"]}],"mendeley":{"formattedCitation":"(Schmidt et al., n.d.)","plainTextFormattedCitation":"(Schmidt et al., n.d.)","previouslyFormattedCitation":"(Schmidt et al.,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Schmidt et al., n.d.)</w:t>
      </w:r>
      <w:r>
        <w:rPr>
          <w:rFonts w:ascii="Times New Roman" w:hAnsi="Times New Roman" w:cs="Times New Roman"/>
          <w:sz w:val="24"/>
          <w:szCs w:val="24"/>
        </w:rPr>
        <w:fldChar w:fldCharType="end"/>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{"citationItems":[{"id":"ITEM-1","itemData":{"DOI":"10.5437/08956308X5602009","ISSN":"08956308","author":[{"dropping-particle":"","family":"Hynds","given":"E. Jefferson","non-dropping-particle":"","parse-names":false,"suffix":""}],"container-title":"Research Technology Management","id":"ITEM-1","issue":"2","issued":{"date-parts":[["2013"]]},"page":"10-12","title":"Viewing Innovation through the Sustainability Lens","type":"article-journal","volume":"56"},"uris":["http://www.mendeley.com/documents/?uuid=16dc5050-3c83-4e0a-ba00-8a35fb072b54"]}],"mendeley":{"formattedCitation":"(Hynds, 2013)","manualFormatting":"Hynds (2013)","plainTextFormattedCitation":"(Hynds, 2013)","previouslyFormattedCitation":"(Hynds,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Hynds (2013)</w:t>
      </w:r>
      <w:r>
        <w:rPr>
          <w:rFonts w:ascii="Times New Roman" w:hAnsi="Times New Roman" w:cs="Times New Roman"/>
          <w:sz w:val="24"/>
          <w:szCs w:val="24"/>
        </w:rPr>
        <w:fldChar w:fldCharType="end"/>
      </w:r>
      <w:r>
        <w:rPr>
          <w:rFonts w:ascii="Times New Roman" w:hAnsi="Times New Roman" w:cs="Times New Roman"/>
          <w:sz w:val="24"/>
          <w:szCs w:val="24"/>
        </w:rPr>
        <w:t xml:space="preserve"> managers should consider how they may strengthen their organization's position in the market by examining chances for innovation through the lens of sustainability.</w:t>
      </w:r>
    </w:p>
    <w:p>
      <w:pPr>
        <w:pStyle w:val="2"/>
        <w:numPr>
          <w:ilvl w:val="0"/>
          <w:numId w:val="0"/>
        </w:numPr>
        <w:spacing w:after="240" w:line="360" w:lineRule="auto"/>
        <w:ind w:left="432" w:hanging="432"/>
        <w:rPr>
          <w:rFonts w:cs="Times New Roman"/>
          <w:b w:val="0"/>
          <w:bCs/>
          <w:sz w:val="24"/>
          <w:szCs w:val="24"/>
        </w:rPr>
      </w:pPr>
      <w:bookmarkStart w:id="16" w:name="_Toc128087506"/>
      <w:r>
        <w:rPr>
          <w:rFonts w:cs="Times New Roman"/>
          <w:sz w:val="24"/>
          <w:szCs w:val="24"/>
        </w:rPr>
        <w:t>Conclusion</w:t>
      </w:r>
      <w:bookmarkEnd w:id="16"/>
      <w:r>
        <w:rPr>
          <w:rStyle w:val="25"/>
          <w:b w:val="0"/>
        </w:rPr>
        <w:t xml:space="preserve"> </w:t>
      </w:r>
      <w:r>
        <w:rPr>
          <w:rStyle w:val="45"/>
          <w:b/>
          <w:bCs w:val="0"/>
          <w:color w:val="auto"/>
        </w:rPr>
        <w:t>and Recommendation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provides an analysis of SDG reporting in Sri Lanka's banking sector, which has begun an empowerment process toward non-financial reporting. The study's findings confirmed that, despite the existence of a unified market, there are differences in the attitudes of the banks toward the SDGs such as: .</w:t>
      </w:r>
    </w:p>
    <w:p>
      <w:pPr>
        <w:pStyle w:val="2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prioritized SDGs in Sri Lankan banks are SDG 7, SDG 5, SDG 8 SDG 9 and SDG 12.</w:t>
      </w:r>
    </w:p>
    <w:p>
      <w:pPr>
        <w:pStyle w:val="2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Government banks in Sri Lanka give major weight to SDG reporting, and there is a great deal of homogeneity in the SDGs' order of importance among those institutions.</w:t>
      </w:r>
    </w:p>
    <w:p>
      <w:pPr>
        <w:pStyle w:val="2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Sri Lankan banks' "scope" of contribution to the SDGs is at a marginal level but positive propensity.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legitimacy theory, companies constantly work to guarantee that operations are conducted in line with social norms and constraints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{"citationItems":[{"id":"ITEM-1","itemData":{"DOI":"10.1016/S0020-7063(02)00151-6","ISSN":"10944060","abstract":"This paper explores the social disclosure policies of large Australian, Singaporean, and South Korean multinational corporations. The researchers advanced arguments about why large multinational corporations respond to \"global expectations\" rather than simply to the expectations of those people residing in the corporation's \"home\" country. Two large international surveys conducted in 1998 and 1999 are used to determine global expectations. The results of the testing indicate a minimal association between global expectations, as represented by the two surveys, and social disclosure policies of large multinational corporations. Consistent with previous research, country of origin and industry of operation appear to significantly influence disclosure practices. © 2002 University of Illinois. All rights reserved.","author":[{"dropping-particle":"","family":"Newson","given":"Marc","non-dropping-particle":"","parse-names":false,"suffix":""},{"dropping-particle":"","family":"Deegan","given":"Craig","non-dropping-particle":"","parse-names":false,"suffix":""}],"container-title":"International Journal of Accounting","id":"ITEM-1","issue":"2","issued":{"date-parts":[["2002"]]},"page":"183-213","title":"Global expectations and their association with corporate social disclosure practices in Australia, Singapore, and South Korea","type":"article-journal","volume":"37"},"uris":["http://www.mendeley.com/documents/?uuid=a34af6dd-eff2-42b1-a9b1-46333edbf4c2"]}],"mendeley":{"formattedCitation":"(Newson &amp; Deegan, 2002)","plainTextFormattedCitation":"(Newson &amp; Deegan, 2002)"},"properties":{"noteIndex":0},"schema":"https://github.com/citation-style-language/schema/raw/master/csl-citation.json"}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(Newson &amp; Deegan, 2002)</w:t>
      </w:r>
      <w:r>
        <w:rPr>
          <w:rFonts w:ascii="Times New Roman" w:hAnsi="Times New Roman" w:cs="Times New Roman"/>
          <w:sz w:val="24"/>
          <w:szCs w:val="24"/>
        </w:rPr>
        <w:fldChar w:fldCharType="end"/>
      </w:r>
      <w:r>
        <w:rPr>
          <w:rFonts w:ascii="Times New Roman" w:hAnsi="Times New Roman" w:cs="Times New Roman"/>
          <w:sz w:val="24"/>
          <w:szCs w:val="24"/>
        </w:rPr>
        <w:t xml:space="preserve">. Ang and Marsella (2015) claim that demands for companies are not only focused on financial gain but also have concern for the community and the environment.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objective of examining the factors that tend to differentiate the approaches toward SDGs among Sri Lankan banks, the findings of the showed that the bank's business model, listing, and ownership do not represent factors that might affect the bank's contribution to the SDGs. Integrated reporting seems to be a more strategic force that can encourage disclosure that is more laser-focused on the goals of sustainable development.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biggest challenges for scholars is figuring out how accountability practices affect SDGs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{"citationItems":[{"id":"ITEM-1","itemData":{"DOI":"10.1108/AAAJ-01-2019-036","ISSN":"09513574","abstract":"Purpose: The purpose of this paper is to reflect upon the focus and changing nature of measuring academic accounting research quality. The paper addresses contemporary changes in academic publishing, metrics for determining research quality and the possible impacts on accounting scholars. These are considered in relation to the core values of interdisciplinary accounting research ‒ that is, the pursuit of novel, rigorous, significant and authentic research motivated by a passion for scholarship, curiosity and solving wicked problems. The impact of changing journal rankings and research citation metrics on the traditional and highly valued role of the accounting academic is further considered. In this setting, the paper also provides a summary of the journal’s activities for 2018, and in the future. Design/methodology/approach: Drawing on contemporary data sets, the paper illustrates the increasingly diverse and confusing array of “evidence” brought to bear on the question of the relative quality of accounting research. Commercial products used to rate and rank journals, and judge the academic impact of individual scholars and their papers not only offer insight and visibility, but also have the potential to misinform scholars and their assessors. Findings: In the move from simple journal ranking lists to big data and citations, and increasingly to concerns with impact and engagement, the authors identify several challenges facing academics and administrators alike. The individual academic and his or her contribution to scholarship are increasingly marginalised in the name of discipline, faculty and institutional performance. A growing university performance management culture within, for example, the UK and Australasia, has reached a stage in the past decade where publication and citation metrics are driving allocations of travel grants, research grants, promotions and appointments. With an expanded range of available metrics and products to judge their worth, or have it judged for them, scholars need to be increasingly informed of the nuanced or not-so-nuanced uses to which these measurement systems will be put. Narrow, restricted and opaque peer-based sources such as journal ranking lists are now being challenged by more transparent citation-based sources. Practical implications: The issues addressed in this commentary offer a critical understanding of contemporary metrics and measurement in determining the quality of interdisciplinary accounting rese…","author":[{"dropping-particle":"","family":"Guthrie","given":"James","non-dropping-particle":"","parse-names":false,"suffix":""},{"dropping-particle":"","family":"Parker","given":"Lee D.","non-dropping-particle":"","parse-names":false,"suffix":""},{"dropping-particle":"","family":"Dumay","given":"John","non-dropping-particle":"","parse-names":false,"suffix":""},{"dropping-particle":"","family":"Milne","given":"Markus J.","non-dropping-particle":"","parse-names":false,"suffix":""}],"container-title":"Accounting, Auditing and Accountability Journal","id":"ITEM-1","issue":"1","issued":{"date-parts":[["2019"]]},"page":"2-25","title":"What counts for quality in interdisciplinary accounting research in the next decade: A critical review and reflection","type":"article-journal","volume":"32"},"uris":["http://www.mendeley.com/documents/?uuid=1fe898bd-9077-4f0d-819d-8a61d4075651"]}],"mendeley":{"formattedCitation":"(Guthrie et al., 2019)","plainTextFormattedCitation":"(Guthrie et al., 2019)","previouslyFormattedCitation":"(Guthrie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(Guthrie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{"citationItems":[{"id":"ITEM-1","itemData":{"DOI":"10.1108/aaaj-05-2017-2929","ISSN":"0951-3574","abstract":"Purpose: The purpose of this paper is to establish and advance the role of academic accounting in the pursuit of the United Nations Sustainable Development Goals (SDGs), which are regarded as the most salient point of departure for understanding and achieving environmental and human development ambitions up to (and no doubt beyond) the year 2030. Design/methodology/approach: This paper provides a synthesis of interdisciplinary perspectives on sustainable development and integration of this with the accounting for sustainability literature. In addition, potential accounting research contributions are proposed so as to support the development of new research avenues. Findings: Existing research in accounting that is relevant to individual SDGs serves as an initial link between them and the accounting discipline. At the same time, the SDGs focus highlights new sites for empirical work (including interdisciplinary investigations) as well as inviting innovation in accounting theoretical frameworks. Moreover, the SDGs provide a context for (re)invigorating accounting’s contribution to sustainable development debates. Originality/value: This is the first paper to explore the roles academic accounting can play in furthering achievement of the SDGs through enhanced understanding, critiquing and advancing of accounting policy, practice and theorizing. It is also the first paper to propose a research agenda in this area.","author":[{"dropping-particle":"","family":"Bebbington","given":"Jan","non-dropping-particle":"","parse-names":false,"suffix":""},{"dropping-particle":"","family":"Unerman","given":"Jeffrey","non-dropping-particle":"","parse-names":false,"suffix":""}],"container-title":"Accounting, Auditing &amp; Accountability Journal","id":"ITEM-1","issue":"1","issued":{"date-parts":[["2018"]]},"page":"2-24","title":"Achieving the United Nations Sustainable Development Goals","type":"article-journal","volume":"31"},"uris":["http://www.mendeley.com/documents/?uuid=c4481bb7-579d-4ac8-b3cf-c937391f10d2"]}],"mendeley":{"formattedCitation":"(Bebbington &amp; Unerman, 2018)","plainTextFormattedCitation":"(Bebbington &amp; Unerman, 2018)","previouslyFormattedCitation":"(Bebbington &amp; Unerman,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Bebbington &amp; Unerman, 2018)</w:t>
      </w:r>
      <w:r>
        <w:rPr>
          <w:rFonts w:ascii="Times New Roman" w:hAnsi="Times New Roman" w:cs="Times New Roman"/>
          <w:sz w:val="24"/>
          <w:szCs w:val="24"/>
        </w:rPr>
        <w:fldChar w:fldCharType="end"/>
      </w:r>
      <w:r>
        <w:rPr>
          <w:rFonts w:ascii="Times New Roman" w:hAnsi="Times New Roman" w:cs="Times New Roman"/>
          <w:sz w:val="24"/>
          <w:szCs w:val="24"/>
        </w:rPr>
        <w:t xml:space="preserve">. The research's findings assist in demonstrating the level and extent of commitment that banks have to the SDGs, while also highlighting how difficult and slow the strategic orientation towards the goals is due to banks' low-focusing attitudes, the absence of strong institutional frameworks, and the non-binding nature of the SDG objectives. Examining the factors that influence banks' approaches to sustainable development is a major concern due to the lack of scientific contribution in the field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{"citationItems":[{"id":"ITEM-1","itemData":{"DOI":"10.1002/csr.1910","ISSN":"15353966","abstract":"Complying with the requirements of sustainability development is a very high priority for the business community. The United Nations' 2030 Agenda and its 17 Sustainable Development Goals (UN_SDGs) pose new challenges for firms, which have to adjust their operations and strategies to the requirements of SDGs. In this context, this paper aims to develop a methodological framework for evaluating the level of alignment of corporate sustainability reporting practices with the scope of UN_SDGs. Based on disclosure topics from Global Reporting Initiative and a scoring system, an evaluation framework was developed in order to assess the quality of information published in sustainability reports with respect to each UN_SDG. An empirical analysis was performed in a sample of sustainability reports in order to examine the structure and the applicability of the proposed methodological framework. The outcomes of the empirical analysis reflect some implications for future research on the UN_SDG reporting practices.","author":[{"dropping-particle":"","family":"Tsalis","given":"Thomas A.","non-dropping-particle":"","parse-names":false,"suffix":""},{"dropping-particle":"","family":"Malamateniou","given":"Kyveli E.","non-dropping-particle":"","parse-names":false,"suffix":""},{"dropping-particle":"","family":"Koulouriotis","given":"Dimitrios","non-dropping-particle":"","parse-names":false,"suffix":""},{"dropping-particle":"","family":"Nikolaou","given":"Ioannis E.","non-dropping-particle":"","parse-names":false,"suffix":""}],"container-title":"Corporate Social Responsibility and Environmental Management","id":"ITEM-1","issue":"4","issued":{"date-parts":[["2020"]]},"page":"1617-1629","title":"New challenges for corporate sustainability reporting: United Nations' 2030 Agenda for sustainable development and the sustainable development goals","type":"article-journal","volume":"27"},"uris":["http://www.mendeley.com/documents/?uuid=3bd4ccba-56cd-44d9-abc8-3769e6216b26"]}],"mendeley":{"formattedCitation":"(Tsalis et al., 2020)","plainTextFormattedCitation":"(Tsalis et al., 2020)","previouslyFormattedCitation":"(Tsalis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(Tsalis et al., 2020,</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{"citationItems":[{"id":"ITEM-1","itemData":{"DOI":"10.1002/sd.1938","ISSN":"10991719","abstract":"The sustainable development goals (SDGs) reflect grand challenges that the global community needs to address in order to ensure economic welfare, environmental quality, social cohesion and prosperity for future generations. In this respect, the role of the banking sector, among other critical business entities and key stakeholders, is vital. The purpose of our paper is to examine how comprehensively the reported performance of banks aligns with the endorsement of SDGs. We employ the well-established framework of the Global Reporting Initiative (GRI) performance indicators for a comparative assessment of the nonfinancial performance disclosed in the annual sustainability reports. Focusing on a small sample of leading European banks, we find an overall low contribution to SDGs. Furthermore, each bank's contribution remains particularly heterogeneous towards most individual SDG goals. Likewise, bank-specific strategies drive the most extensively addressed SDGs, overlooking any critical importance of certain GRI indicators with multifaceted impact across several SDGs. The study sets forth managerial implications for improving effective reporting of SDG performance. It concludes with emerging opportunities for enhancing disclosure of SDGs contribution and highlights future research perspectives towards industry-wide shared-value appraisal under the scope of these pressing grand challenges.","author":[{"dropping-particle":"","family":"Avrampou","given":"Anna","non-dropping-particle":"","parse-names":false,"suffix":""},{"dropping-particle":"","family":"Skouloudis","given":"Antonis","non-dropping-particle":"","parse-names":false,"suffix":""},{"dropping-particle":"","family":"Iliopoulos","given":"George","non-dropping-particle":"","parse-names":false,"suffix":""},{"dropping-particle":"","family":"Khan","given":"Nadeem","non-dropping-particle":"","parse-names":false,"suffix":""}],"container-title":"Sustainable Development","id":"ITEM-1","issue":"4","issued":{"date-parts":[["2019"]]},"page":"743-757","title":"Advancing the Sustainable Development Goals: Evidence from leading European banks","type":"article-journal","volume":"27"},"uris":["http://www.mendeley.com/documents/?uuid=9fd247c1-cdf4-47d5-bf5e-3ed1f39c2475"]}],"mendeley":{"formattedCitation":"(Avrampou et al., 2019)","plainTextFormattedCitation":"(Avrampou et al., 2019)","previouslyFormattedCitation":"(Avrampou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Avrampou et al., 2019)</w:t>
      </w:r>
      <w:r>
        <w:rPr>
          <w:rFonts w:ascii="Times New Roman" w:hAnsi="Times New Roman" w:cs="Times New Roman"/>
          <w:sz w:val="24"/>
          <w:szCs w:val="24"/>
        </w:rPr>
        <w:fldChar w:fldCharType="end"/>
      </w:r>
      <w:r>
        <w:rPr>
          <w:rFonts w:ascii="Times New Roman" w:hAnsi="Times New Roman" w:cs="Times New Roman"/>
          <w:sz w:val="24"/>
          <w:szCs w:val="24"/>
        </w:rPr>
        <w:t>. Hence, this  paper enriches the existing body of knowledge on SDG research in Sri Lanka.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From a management perspective, it helps to improve awareness and identification of the weaknesses in the SDG reporting and gives managers the ability to quickly and easily compare their contribution to the SDGs to that of rivals throughout the industry and in a bigger framework. From a policy perspective, the paper clarifies a few elements related to the bank's engagement with SDG reporting. It can also be useful for decision-makers to correctly define the best approaches to promote sustainability orientation and help banks support the SDGs that are in charge of developing country-specific policies.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business strategy, CSE listing, preparation of reports using an integrated reporting framework, and ownership are the only factors that have been examined in this study. Future studies may further examine the link between the GRI standards and SDGs in the Sri Lankan context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{"citationItems":[{"id":"ITEM-1","itemData":{"abstract":"The following table links the Sustainable Development Goals (SDGs) to the indicators in the GRI G4 Sustainability Reporting Guidelines and Sector Disclosures. These linkages are based on a more detailed analysis available on the SDG Compass website (www.sdgcompass.org). Legend","author":[{"dropping-particle":"","family":"Global Reporting Initiative","given":"","non-dropping-particle":"","parse-names":false,"suffix":""}],"id":"ITEM-1","issue":"March","issued":{"date-parts":[["2015"]]},"page":"6","title":"Linking the SDGs and GRI","type":"article-journal"},"uris":["http://www.mendeley.com/documents/?uuid=306d8041-e5da-47ed-a5e0-24568429047b"]}],"mendeley":{"formattedCitation":"(Global Reporting Initiative, 2015)","plainTextFormattedCitation":"(Global Reporting Initiative, 2015)","previouslyFormattedCitation":"(Global Reporting Initiative,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(Global Reporting Initiative, 2015)</w:t>
      </w:r>
      <w:r>
        <w:rPr>
          <w:rFonts w:ascii="Times New Roman" w:hAnsi="Times New Roman" w:cs="Times New Roman"/>
          <w:sz w:val="24"/>
          <w:szCs w:val="24"/>
        </w:rPr>
        <w:fldChar w:fldCharType="end"/>
      </w:r>
      <w:r>
        <w:rPr>
          <w:rFonts w:ascii="Times New Roman" w:hAnsi="Times New Roman" w:cs="Times New Roman"/>
          <w:sz w:val="24"/>
          <w:szCs w:val="24"/>
        </w:rPr>
        <w:t xml:space="preserve">. To make sure that new information is properly guiding national practice and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{"citationItems":[{"id":"ITEM-1","itemData":{"DOI":"10.1007/s11625-018-0572-3","ISBN":"0123456789","ISSN":"18624057","abstract":"The global Sustainable Development Goals (SDGs) commenced in 2016 and provide an evidence-based framework for sustainable development planning and programming until 2030. There is emerging international practice and a growing catalogue of related reviews, assessments, guidelines and publications. While the expert community is clearly emphasising the need to adopt evidence- and science-based approaches to SDG implementation, policymakers now face the challenge of implementing the SDGs simultaneously in a coherent and integrated manner. Regular systematic reviews of national progress and approaches to implementing the SDGs are advisable to ensure that emerging science and knowledge is effectively informing national practice. This paper reviews the recent academic and expert literature as well as national experience in implementing the SDGs in 26 countries. It uses a systematic approach to analyse the degree to which key implementation stages and approaches recommended in the expert literature are being adopted and applied to support national SDG implementation on-the-ground. The review highlights that while progress has been made in some initial planning stages, key gaps remain in terms of the assessment of interlinkages, trade-offs and synergies between targets. Gaps are also clearly evident in the adoption of systems thinking and integrated analytical approaches and models. This is problematic as it may undermine effective implementation and the transformative potential of the SDGs. As more countries turn their attention to the SDGs, the review underscores the considerable risk that they will pursue the same ‘siloed’ or ‘linear’ approaches to sustainable development that have met with limited success in the past.","author":[{"dropping-particle":"","family":"Allen","given":"Cameron","non-dropping-particle":"","parse-names":false,"suffix":""},{"dropping-particle":"","family":"Metternicht","given":"Graciela","non-dropping-particle":"","parse-names":false,"suffix":""},{"dropping-particle":"","family":"Wiedmann","given":"Thomas","non-dropping-particle":"","parse-names":false,"suffix":""}],"container-title":"Sustainability Science","id":"ITEM-1","issue":"5","issued":{"date-parts":[["2018"]]},"page":"1453-1467","publisher":"Springer Japan","title":"Initial progress in implementing the Sustainable Development Goals (SDGs): a review of evidence from countries","type":"article-journal","volume":"13"},"uris":["http://www.mendeley.com/documents/?uuid=41ab64e9-57a2-4fef-8222-fc47eb2d6435"]}],"mendeley":{"formattedCitation":"(Allen et al., 2018)","plainTextFormattedCitation":"(Allen et al., 2018)","previouslyFormattedCitation":"(Allen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Allen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recommend periodical evaluations of the country's progress and methods for achieving SDGs.</w:t>
      </w:r>
      <w:bookmarkStart w:id="17" w:name="_Toc128087511"/>
    </w:p>
    <w:p>
      <w:pPr>
        <w:spacing w:line="360" w:lineRule="auto"/>
        <w:jc w:val="both"/>
        <w:rPr>
          <w:rFonts w:ascii="Times New Roman" w:hAnsi="Times New Roman" w:cs="Times New Roman"/>
          <w:b/>
          <w:bCs/>
        </w:rPr>
      </w:pPr>
      <w:r>
        <w:rPr>
          <w:rFonts w:ascii="Times New Roman" w:hAnsi="Times New Roman" w:cs="Times New Roman"/>
          <w:b/>
          <w:bCs/>
        </w:rPr>
        <w:t>References</w:t>
      </w:r>
      <w:bookmarkEnd w:id="17"/>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Pr>
          <w:rFonts w:ascii="Times New Roman" w:hAnsi="Times New Roman" w:cs="Times New Roman"/>
        </w:rPr>
        <w:t xml:space="preserve">Allen, C., Metternicht, G., &amp; Wiedmann, T. (2018). Initial progress in implementing the Sustainable Development Goals (SDGs): a review of evidence from countries. </w:t>
      </w:r>
      <w:r>
        <w:rPr>
          <w:rFonts w:ascii="Times New Roman" w:hAnsi="Times New Roman" w:cs="Times New Roman"/>
          <w:i/>
          <w:iCs/>
        </w:rPr>
        <w:t>Sustainability Science</w:t>
      </w:r>
      <w:r>
        <w:rPr>
          <w:rFonts w:ascii="Times New Roman" w:hAnsi="Times New Roman" w:cs="Times New Roman"/>
        </w:rPr>
        <w:t xml:space="preserve">, </w:t>
      </w:r>
      <w:r>
        <w:rPr>
          <w:rFonts w:ascii="Times New Roman" w:hAnsi="Times New Roman" w:cs="Times New Roman"/>
          <w:i/>
          <w:iCs/>
        </w:rPr>
        <w:t>13</w:t>
      </w:r>
      <w:r>
        <w:rPr>
          <w:rFonts w:ascii="Times New Roman" w:hAnsi="Times New Roman" w:cs="Times New Roman"/>
        </w:rPr>
        <w:t>(5), 1453–1467. https://doi.org/10.1007/s11625-018-0572-3</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Pr>
          <w:rFonts w:ascii="Times New Roman" w:hAnsi="Times New Roman" w:cs="Times New Roman"/>
        </w:rPr>
        <w:t xml:space="preserve">Ang S. L.L, and Marsella E P (2015). Corporate social responsibilty: implikasi stakeholder dan legitimacy gap dalam peningkatan. </w:t>
      </w:r>
      <w:r>
        <w:rPr>
          <w:rFonts w:ascii="Times New Roman" w:hAnsi="Times New Roman" w:cs="Times New Roman"/>
          <w:i/>
          <w:iCs/>
        </w:rPr>
        <w:t>International Journal of Accounting</w:t>
      </w:r>
      <w:r>
        <w:rPr>
          <w:rFonts w:ascii="Times New Roman" w:hAnsi="Times New Roman" w:cs="Times New Roman"/>
        </w:rPr>
        <w:t xml:space="preserve">, </w:t>
      </w:r>
      <w:r>
        <w:rPr>
          <w:rFonts w:ascii="Times New Roman" w:hAnsi="Times New Roman" w:cs="Times New Roman"/>
        </w:rPr>
        <w:fldChar w:fldCharType="end"/>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Artiach, T., Lee, D., Nelson, D., &amp; Walker, J. (2010). The determinants of corporate sustainability performance. </w:t>
      </w:r>
      <w:r>
        <w:rPr>
          <w:rFonts w:ascii="Times New Roman" w:hAnsi="Times New Roman" w:cs="Times New Roman"/>
          <w:i/>
          <w:iCs/>
        </w:rPr>
        <w:t>Accounting and Finance</w:t>
      </w:r>
      <w:r>
        <w:rPr>
          <w:rFonts w:ascii="Times New Roman" w:hAnsi="Times New Roman" w:cs="Times New Roman"/>
        </w:rPr>
        <w:t xml:space="preserve">, </w:t>
      </w:r>
      <w:r>
        <w:rPr>
          <w:rFonts w:ascii="Times New Roman" w:hAnsi="Times New Roman" w:cs="Times New Roman"/>
          <w:i/>
          <w:iCs/>
        </w:rPr>
        <w:t>50</w:t>
      </w:r>
      <w:r>
        <w:rPr>
          <w:rFonts w:ascii="Times New Roman" w:hAnsi="Times New Roman" w:cs="Times New Roman"/>
        </w:rPr>
        <w:t>(1), 31–51. https://doi.org/10.1111/j.1467-629X.2009.00315.x</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Avrampou, A., Skouloudis A, Iliopoulos, G., &amp; Khan, N. (2019). Advancing the Sustainable Development Goals: Evidence from leading European banks. </w:t>
      </w:r>
      <w:r>
        <w:rPr>
          <w:rFonts w:ascii="Times New Roman" w:hAnsi="Times New Roman" w:cs="Times New Roman"/>
          <w:i/>
          <w:iCs/>
        </w:rPr>
        <w:t>Sustainable Development</w:t>
      </w:r>
      <w:r>
        <w:rPr>
          <w:rFonts w:ascii="Times New Roman" w:hAnsi="Times New Roman" w:cs="Times New Roman"/>
        </w:rPr>
        <w:t xml:space="preserve">, </w:t>
      </w:r>
      <w:r>
        <w:rPr>
          <w:rFonts w:ascii="Times New Roman" w:hAnsi="Times New Roman" w:cs="Times New Roman"/>
          <w:i/>
          <w:iCs/>
        </w:rPr>
        <w:t>27</w:t>
      </w:r>
      <w:r>
        <w:rPr>
          <w:rFonts w:ascii="Times New Roman" w:hAnsi="Times New Roman" w:cs="Times New Roman"/>
        </w:rPr>
        <w:t>(4), 743–757. https://doi.org/10.1002/sd.1938</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Baeyens, A., &amp; Goffin, T. (2015). European Court of Justice. </w:t>
      </w:r>
      <w:r>
        <w:rPr>
          <w:rFonts w:ascii="Times New Roman" w:hAnsi="Times New Roman" w:cs="Times New Roman"/>
          <w:i/>
          <w:iCs/>
        </w:rPr>
        <w:t>European Journal of Health Law</w:t>
      </w:r>
      <w:r>
        <w:rPr>
          <w:rFonts w:ascii="Times New Roman" w:hAnsi="Times New Roman" w:cs="Times New Roman"/>
        </w:rPr>
        <w:t xml:space="preserve">, </w:t>
      </w:r>
      <w:r>
        <w:rPr>
          <w:rFonts w:ascii="Times New Roman" w:hAnsi="Times New Roman" w:cs="Times New Roman"/>
          <w:i/>
          <w:iCs/>
        </w:rPr>
        <w:t>22</w:t>
      </w:r>
      <w:r>
        <w:rPr>
          <w:rFonts w:ascii="Times New Roman" w:hAnsi="Times New Roman" w:cs="Times New Roman"/>
        </w:rPr>
        <w:t>(5), 508–516. https://doi.org/10.1163/15718093-12341375</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Cheng, M., Green, W., Conradie, P., Konishi, N., &amp; Romi, A. (2014). The International Integrated Reporting Framework: Key Issues and Future Research Opportunities. </w:t>
      </w:r>
      <w:r>
        <w:rPr>
          <w:rFonts w:ascii="Times New Roman" w:hAnsi="Times New Roman" w:cs="Times New Roman"/>
          <w:i/>
          <w:iCs/>
        </w:rPr>
        <w:t>Journal of International Financial Management and Accounting</w:t>
      </w:r>
      <w:r>
        <w:rPr>
          <w:rFonts w:ascii="Times New Roman" w:hAnsi="Times New Roman" w:cs="Times New Roman"/>
        </w:rPr>
        <w:t xml:space="preserve">, </w:t>
      </w:r>
      <w:r>
        <w:rPr>
          <w:rFonts w:ascii="Times New Roman" w:hAnsi="Times New Roman" w:cs="Times New Roman"/>
          <w:i/>
          <w:iCs/>
        </w:rPr>
        <w:t>25</w:t>
      </w:r>
      <w:r>
        <w:rPr>
          <w:rFonts w:ascii="Times New Roman" w:hAnsi="Times New Roman" w:cs="Times New Roman"/>
        </w:rPr>
        <w:t>(1), 90–119. https://doi.org/10.1111/jifm.12015</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Cosma, S., Venturelli, A., Schwizer, P., &amp; Boscia, V. (2020). Sustainable development and european banks: A non-financial disclosure analysis. </w:t>
      </w:r>
      <w:r>
        <w:rPr>
          <w:rFonts w:ascii="Times New Roman" w:hAnsi="Times New Roman" w:cs="Times New Roman"/>
          <w:i/>
          <w:iCs/>
        </w:rPr>
        <w:t>Sustainability (Switzerland)</w:t>
      </w:r>
      <w:r>
        <w:rPr>
          <w:rFonts w:ascii="Times New Roman" w:hAnsi="Times New Roman" w:cs="Times New Roman"/>
        </w:rPr>
        <w:t xml:space="preserve">, </w:t>
      </w:r>
      <w:r>
        <w:rPr>
          <w:rFonts w:ascii="Times New Roman" w:hAnsi="Times New Roman" w:cs="Times New Roman"/>
          <w:i/>
          <w:iCs/>
        </w:rPr>
        <w:t>12</w:t>
      </w:r>
      <w:r>
        <w:rPr>
          <w:rFonts w:ascii="Times New Roman" w:hAnsi="Times New Roman" w:cs="Times New Roman"/>
        </w:rPr>
        <w:t>(15), 1–19. https://doi.org/10.3390/su12156146</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Chelli M., et.al  (2014). France’s new economic regulations: insights from institutional legitimacy theory. </w:t>
      </w:r>
      <w:r>
        <w:rPr>
          <w:rFonts w:ascii="Times New Roman" w:hAnsi="Times New Roman" w:cs="Times New Roman"/>
          <w:i/>
          <w:iCs/>
        </w:rPr>
        <w:t>Accounting, Auditing &amp; Accountability Journal</w:t>
      </w:r>
      <w:r>
        <w:rPr>
          <w:rFonts w:ascii="Times New Roman" w:hAnsi="Times New Roman" w:cs="Times New Roman"/>
        </w:rPr>
        <w:t xml:space="preserve">, </w:t>
      </w:r>
      <w:r>
        <w:rPr>
          <w:rFonts w:ascii="Times New Roman" w:hAnsi="Times New Roman" w:cs="Times New Roman"/>
          <w:i/>
          <w:iCs/>
        </w:rPr>
        <w:t>27</w:t>
      </w:r>
      <w:r>
        <w:rPr>
          <w:rFonts w:ascii="Times New Roman" w:hAnsi="Times New Roman" w:cs="Times New Roman"/>
        </w:rPr>
        <w:t>(2). https://doi.org/https://doi.org/10.1108/AAAJ-07-2013-1415</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Curse, M. (2016). </w:t>
      </w:r>
      <w:r>
        <w:rPr>
          <w:rFonts w:ascii="Times New Roman" w:hAnsi="Times New Roman" w:cs="Times New Roman"/>
          <w:i/>
          <w:iCs/>
        </w:rPr>
        <w:t>and Acquisitions</w:t>
      </w:r>
      <w:r>
        <w:rPr>
          <w:rFonts w:ascii="Times New Roman" w:hAnsi="Times New Roman" w:cs="Times New Roman"/>
        </w:rPr>
        <w:t>. 11–15. https://doi.org/10.1002/jcaf</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EBF-KPMG. (2021). European Bank Practices. </w:t>
      </w:r>
      <w:r>
        <w:rPr>
          <w:rFonts w:ascii="Times New Roman" w:hAnsi="Times New Roman" w:cs="Times New Roman"/>
          <w:i/>
          <w:iCs/>
        </w:rPr>
        <w:t>Report</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 https://www.ebf.eu/financing-growth/banks-prioritize-sdgs-requiring-%5C%5Cgreatest-financing-impact-study-finds/</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ESCAP. (2020). Asia and the Pacific SDG progress report. In </w:t>
      </w:r>
      <w:r>
        <w:rPr>
          <w:rFonts w:ascii="Times New Roman" w:hAnsi="Times New Roman" w:cs="Times New Roman"/>
          <w:i/>
          <w:iCs/>
        </w:rPr>
        <w:t>United Nations Publication</w:t>
      </w:r>
      <w:r>
        <w:rPr>
          <w:rFonts w:ascii="Times New Roman" w:hAnsi="Times New Roman" w:cs="Times New Roman"/>
        </w:rPr>
        <w:t>.</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Freeman R.E., Andrew C. Wicks, B. P. (2004). </w:t>
      </w:r>
      <w:r>
        <w:rPr>
          <w:rFonts w:ascii="Times New Roman" w:hAnsi="Times New Roman" w:cs="Times New Roman"/>
          <w:i/>
          <w:iCs/>
        </w:rPr>
        <w:t>Stakeholder Theory and “The Corporate Objective Revisited.”</w:t>
      </w:r>
      <w:r>
        <w:rPr>
          <w:rFonts w:ascii="Times New Roman" w:hAnsi="Times New Roman" w:cs="Times New Roman"/>
        </w:rPr>
        <w:t xml:space="preserve"> </w:t>
      </w:r>
      <w:r>
        <w:rPr>
          <w:rFonts w:ascii="Times New Roman" w:hAnsi="Times New Roman" w:cs="Times New Roman"/>
          <w:i/>
          <w:iCs/>
        </w:rPr>
        <w:t>15</w:t>
      </w:r>
      <w:r>
        <w:rPr>
          <w:rFonts w:ascii="Times New Roman" w:hAnsi="Times New Roman" w:cs="Times New Roman"/>
        </w:rPr>
        <w:t>. https://doi.org/https://doi.org/10.1287/orsc.1040.0066</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Fijałkowska J, D. H. (2022). Risk Information in Non-Financial Disclosure. </w:t>
      </w:r>
      <w:r>
        <w:rPr>
          <w:rFonts w:ascii="Times New Roman" w:hAnsi="Times New Roman" w:cs="Times New Roman"/>
          <w:i/>
          <w:iCs/>
        </w:rPr>
        <w:t>Risks</w:t>
      </w:r>
      <w:r>
        <w:rPr>
          <w:rFonts w:ascii="Times New Roman" w:hAnsi="Times New Roman" w:cs="Times New Roman"/>
        </w:rPr>
        <w:t xml:space="preserve">, </w:t>
      </w:r>
      <w:r>
        <w:rPr>
          <w:rFonts w:ascii="Times New Roman" w:hAnsi="Times New Roman" w:cs="Times New Roman"/>
          <w:i/>
          <w:iCs/>
        </w:rPr>
        <w:t>10</w:t>
      </w:r>
      <w:r>
        <w:rPr>
          <w:rFonts w:ascii="Times New Roman" w:hAnsi="Times New Roman" w:cs="Times New Roman"/>
        </w:rPr>
        <w:t>(1). https://doi.org/https://doi.org/10.3390/risks10010011</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Global Reporting Initiative. (2015). </w:t>
      </w:r>
      <w:r>
        <w:rPr>
          <w:rFonts w:ascii="Times New Roman" w:hAnsi="Times New Roman" w:cs="Times New Roman"/>
          <w:i/>
          <w:iCs/>
        </w:rPr>
        <w:t>Linking the SDGs and GRI</w:t>
      </w:r>
      <w:r>
        <w:rPr>
          <w:rFonts w:ascii="Times New Roman" w:hAnsi="Times New Roman" w:cs="Times New Roman"/>
        </w:rPr>
        <w:t xml:space="preserve">. </w:t>
      </w:r>
      <w:r>
        <w:rPr>
          <w:rFonts w:ascii="Times New Roman" w:hAnsi="Times New Roman" w:cs="Times New Roman"/>
          <w:i/>
          <w:iCs/>
        </w:rPr>
        <w:t>March</w:t>
      </w:r>
      <w:r>
        <w:rPr>
          <w:rFonts w:ascii="Times New Roman" w:hAnsi="Times New Roman" w:cs="Times New Roman"/>
        </w:rPr>
        <w:t>, 6.</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Guthrie, J., Parker, L. D., Dumay, J., &amp; Milne, M. J. (2019). What counts for quality in interdisciplinary accounting research in the next decade: A critical review and reflection. </w:t>
      </w:r>
      <w:r>
        <w:rPr>
          <w:rFonts w:ascii="Times New Roman" w:hAnsi="Times New Roman" w:cs="Times New Roman"/>
          <w:i/>
          <w:iCs/>
        </w:rPr>
        <w:t>Accounting, Auditing and Accountability Journal</w:t>
      </w:r>
      <w:r>
        <w:rPr>
          <w:rFonts w:ascii="Times New Roman" w:hAnsi="Times New Roman" w:cs="Times New Roman"/>
        </w:rPr>
        <w:t xml:space="preserve">, </w:t>
      </w:r>
      <w:r>
        <w:rPr>
          <w:rFonts w:ascii="Times New Roman" w:hAnsi="Times New Roman" w:cs="Times New Roman"/>
          <w:i/>
          <w:iCs/>
        </w:rPr>
        <w:t>32</w:t>
      </w:r>
      <w:r>
        <w:rPr>
          <w:rFonts w:ascii="Times New Roman" w:hAnsi="Times New Roman" w:cs="Times New Roman"/>
        </w:rPr>
        <w:t>(1), 2–25. https://doi.org/10.1108/AAAJ-01-2019-036</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Heithaus, T., Mills, R., &amp; Perkiss, S. (2018). </w:t>
      </w:r>
      <w:r>
        <w:rPr>
          <w:rFonts w:ascii="Times New Roman" w:hAnsi="Times New Roman" w:cs="Times New Roman"/>
          <w:i/>
          <w:iCs/>
        </w:rPr>
        <w:t>Disclosure and reporting against the Sustainable Development Goals: Connecting new stakeholders to sustainability data</w:t>
      </w:r>
      <w:r>
        <w:rPr>
          <w:rFonts w:ascii="Times New Roman" w:hAnsi="Times New Roman" w:cs="Times New Roman"/>
        </w:rPr>
        <w:t>.</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Hynds, E. J. (2013). Viewing Innovation through the Sustainability Lens. </w:t>
      </w:r>
      <w:r>
        <w:rPr>
          <w:rFonts w:ascii="Times New Roman" w:hAnsi="Times New Roman" w:cs="Times New Roman"/>
          <w:i/>
          <w:iCs/>
        </w:rPr>
        <w:t>Research Technology Management</w:t>
      </w:r>
      <w:r>
        <w:rPr>
          <w:rFonts w:ascii="Times New Roman" w:hAnsi="Times New Roman" w:cs="Times New Roman"/>
        </w:rPr>
        <w:t xml:space="preserve">, </w:t>
      </w:r>
      <w:r>
        <w:rPr>
          <w:rFonts w:ascii="Times New Roman" w:hAnsi="Times New Roman" w:cs="Times New Roman"/>
          <w:i/>
          <w:iCs/>
        </w:rPr>
        <w:t>56</w:t>
      </w:r>
      <w:r>
        <w:rPr>
          <w:rFonts w:ascii="Times New Roman" w:hAnsi="Times New Roman" w:cs="Times New Roman"/>
        </w:rPr>
        <w:t>(2), 10–12. https://doi.org/10.5437/08956308X5602009</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ILIAS, A., Razak, M. Z. A., &amp; Rahman, R. A. (2015). The Quality of Non-Financial Information on Internet Business Reporting for Malaysian Public Listed Companies (PLCs). </w:t>
      </w:r>
      <w:r>
        <w:rPr>
          <w:rFonts w:ascii="Times New Roman" w:hAnsi="Times New Roman" w:cs="Times New Roman"/>
          <w:i/>
          <w:iCs/>
        </w:rPr>
        <w:t>International Journal of Business and Administrative Studies</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(4). https://doi.org/10.20469/ijbas.10005-4</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Kapoor, S., &amp; Sandhu, H. S. (2010). Does it pay to be socially responsible? An empirical examination of impact of corporate social responsibility on financial performance. </w:t>
      </w:r>
      <w:r>
        <w:rPr>
          <w:rFonts w:ascii="Times New Roman" w:hAnsi="Times New Roman" w:cs="Times New Roman"/>
          <w:i/>
          <w:iCs/>
        </w:rPr>
        <w:t>Global Business Review</w:t>
      </w:r>
      <w:r>
        <w:rPr>
          <w:rFonts w:ascii="Times New Roman" w:hAnsi="Times New Roman" w:cs="Times New Roman"/>
        </w:rPr>
        <w:t xml:space="preserve">, </w:t>
      </w:r>
      <w:r>
        <w:rPr>
          <w:rFonts w:ascii="Times New Roman" w:hAnsi="Times New Roman" w:cs="Times New Roman"/>
          <w:i/>
          <w:iCs/>
        </w:rPr>
        <w:t>11</w:t>
      </w:r>
      <w:r>
        <w:rPr>
          <w:rFonts w:ascii="Times New Roman" w:hAnsi="Times New Roman" w:cs="Times New Roman"/>
        </w:rPr>
        <w:t>(2), 185–208. https://doi.org/10.1177/097215091001100205</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Mitchell, R. K., Agle, B. R., &amp; Wood, D. J. (1997). Toward a theory of stakeholder identification and salience: Defining the principle of who and what really counts. </w:t>
      </w:r>
      <w:r>
        <w:rPr>
          <w:rFonts w:ascii="Times New Roman" w:hAnsi="Times New Roman" w:cs="Times New Roman"/>
          <w:i/>
          <w:iCs/>
        </w:rPr>
        <w:t>Academy of Management Review</w:t>
      </w:r>
      <w:r>
        <w:rPr>
          <w:rFonts w:ascii="Times New Roman" w:hAnsi="Times New Roman" w:cs="Times New Roman"/>
        </w:rPr>
        <w:t xml:space="preserve">, </w:t>
      </w:r>
      <w:r>
        <w:rPr>
          <w:rFonts w:ascii="Times New Roman" w:hAnsi="Times New Roman" w:cs="Times New Roman"/>
          <w:i/>
          <w:iCs/>
        </w:rPr>
        <w:t>22</w:t>
      </w:r>
      <w:r>
        <w:rPr>
          <w:rFonts w:ascii="Times New Roman" w:hAnsi="Times New Roman" w:cs="Times New Roman"/>
        </w:rPr>
        <w:t>(4), 853–886. https://doi.org/10.5465/AMR.1997.9711022105</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Mousa, Gehan. A.; Hassan, N. T. (2015). Legitimacy Theory and Environmental Practices: Short Notes. </w:t>
      </w:r>
      <w:r>
        <w:rPr>
          <w:rFonts w:ascii="Times New Roman" w:hAnsi="Times New Roman" w:cs="Times New Roman"/>
          <w:i/>
          <w:iCs/>
        </w:rPr>
        <w:t>University of Bahrain Scientific Journals</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(1). https://doi.org/http://dx.doi.org/10.12785/IJBSA/020104</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Newson, M., &amp; Deegan, C. (2002). Global expectations and their association with corporate social disclosure practices in Australia, Singapore, and South Korea. </w:t>
      </w:r>
      <w:r>
        <w:rPr>
          <w:rFonts w:ascii="Times New Roman" w:hAnsi="Times New Roman" w:cs="Times New Roman"/>
          <w:i/>
          <w:iCs/>
        </w:rPr>
        <w:t>International Journal of Accounting</w:t>
      </w:r>
      <w:r>
        <w:rPr>
          <w:rFonts w:ascii="Times New Roman" w:hAnsi="Times New Roman" w:cs="Times New Roman"/>
        </w:rPr>
        <w:t xml:space="preserve">, </w:t>
      </w:r>
      <w:r>
        <w:rPr>
          <w:rFonts w:ascii="Times New Roman" w:hAnsi="Times New Roman" w:cs="Times New Roman"/>
          <w:i/>
          <w:iCs/>
        </w:rPr>
        <w:t>37</w:t>
      </w:r>
      <w:r>
        <w:rPr>
          <w:rFonts w:ascii="Times New Roman" w:hAnsi="Times New Roman" w:cs="Times New Roman"/>
        </w:rPr>
        <w:t>(2), 183–213. https://doi.org/10.1016/S0020-7063(02)00151-6</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Nilsson, M., Griggs, D., &amp; Visbeck, M. (2016). Policy: Map the interactions between Sustainable Development Goals. </w:t>
      </w:r>
      <w:r>
        <w:rPr>
          <w:rFonts w:ascii="Times New Roman" w:hAnsi="Times New Roman" w:cs="Times New Roman"/>
          <w:i/>
          <w:iCs/>
        </w:rPr>
        <w:t>Nature</w:t>
      </w:r>
      <w:r>
        <w:rPr>
          <w:rFonts w:ascii="Times New Roman" w:hAnsi="Times New Roman" w:cs="Times New Roman"/>
        </w:rPr>
        <w:t xml:space="preserve">, </w:t>
      </w:r>
      <w:r>
        <w:rPr>
          <w:rFonts w:ascii="Times New Roman" w:hAnsi="Times New Roman" w:cs="Times New Roman"/>
          <w:i/>
          <w:iCs/>
        </w:rPr>
        <w:t>534</w:t>
      </w:r>
      <w:r>
        <w:rPr>
          <w:rFonts w:ascii="Times New Roman" w:hAnsi="Times New Roman" w:cs="Times New Roman"/>
        </w:rPr>
        <w:t>(7607), 320–322. https://doi.org/10.1038/534320a</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Pezzey J. (1992). Sustainable Development Concepts, An Economic Analysis. </w:t>
      </w:r>
      <w:r>
        <w:rPr>
          <w:rFonts w:ascii="Times New Roman" w:hAnsi="Times New Roman" w:cs="Times New Roman"/>
          <w:i/>
          <w:iCs/>
        </w:rPr>
        <w:t>WORLD BANK ENVIRONMENT PAPER NUMBER 2</w:t>
      </w:r>
      <w:r>
        <w:rPr>
          <w:rFonts w:ascii="Times New Roman" w:hAnsi="Times New Roman" w:cs="Times New Roman"/>
        </w:rPr>
        <w:t>, 92. https://www.researchgate.net/profile/John-jack-Pezzey/publication/243768263_’Economic_Analysis_of_Sustainable_Growth_and_Sustainable_Development/links/566503e808ae15e74632fbfb/Economic-Analysis-of-Sustainable-Growth-and-Sustainable-Development.pdf</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Pradhan . P., Costa L, Rybski D., Lucht,W. J. P. K. (2017). A Systematic Study of Sustainable Development Goal (SDG) Interactions. </w:t>
      </w:r>
      <w:r>
        <w:rPr>
          <w:rFonts w:ascii="Times New Roman" w:hAnsi="Times New Roman" w:cs="Times New Roman"/>
          <w:i/>
          <w:iCs/>
        </w:rPr>
        <w:t>Earth’s Future</w:t>
      </w:r>
      <w:r>
        <w:rPr>
          <w:rFonts w:ascii="Times New Roman" w:hAnsi="Times New Roman" w:cs="Times New Roman"/>
        </w:rPr>
        <w:t>. https://doi.org/https://doi.org/10.1002/2017EF000632</w:t>
      </w:r>
    </w:p>
    <w:p>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Phillips R. (2003). </w:t>
      </w:r>
      <w:r>
        <w:rPr>
          <w:rFonts w:ascii="Times New Roman" w:hAnsi="Times New Roman" w:cs="Times New Roman"/>
          <w:i/>
          <w:iCs/>
        </w:rPr>
        <w:t>Stakeholder Theory and Organizational Ethics</w:t>
      </w:r>
      <w:r>
        <w:rPr>
          <w:rFonts w:ascii="Times New Roman" w:hAnsi="Times New Roman" w:cs="Times New Roman"/>
        </w:rPr>
        <w:t>. https://books.google.lk/books?hl=en&amp;lr=&amp;id=D4qvPUbZw5MC&amp;oi=fnd&amp;pg=PR3&amp;dq=stakeholder+theory&amp;ots=i24KCnx3D_&amp;sig=IcnVHLwsD4_jl58VVH_iMfrZ7Ys&amp;redir_esc=y#v=onepage&amp;q=stakeholder theory&amp;f=false</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Pizzi S,Francesco.R, A. V. (2021). The determinants of business contribution to the 2030 Agenda: Introducing the SDG Reporting Score. </w:t>
      </w:r>
      <w:r>
        <w:rPr>
          <w:rFonts w:ascii="Times New Roman" w:hAnsi="Times New Roman" w:cs="Times New Roman"/>
          <w:i/>
          <w:iCs/>
        </w:rPr>
        <w:t>Business Strategy and the Environment</w:t>
      </w:r>
      <w:r>
        <w:rPr>
          <w:rFonts w:ascii="Times New Roman" w:hAnsi="Times New Roman" w:cs="Times New Roman"/>
        </w:rPr>
        <w:t xml:space="preserve">, </w:t>
      </w:r>
      <w:r>
        <w:rPr>
          <w:rFonts w:ascii="Times New Roman" w:hAnsi="Times New Roman" w:cs="Times New Roman"/>
          <w:i/>
          <w:iCs/>
        </w:rPr>
        <w:t>30</w:t>
      </w:r>
      <w:r>
        <w:rPr>
          <w:rFonts w:ascii="Times New Roman" w:hAnsi="Times New Roman" w:cs="Times New Roman"/>
        </w:rPr>
        <w:t>(1), 404–421. https://doi.org/https://doi.org/10.1002/bse.2628</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Sachs, J. D. (2012). From millennium development goals to sustainable development goals. </w:t>
      </w:r>
      <w:r>
        <w:rPr>
          <w:rFonts w:ascii="Times New Roman" w:hAnsi="Times New Roman" w:cs="Times New Roman"/>
          <w:i/>
          <w:iCs/>
        </w:rPr>
        <w:t>The Lancet</w:t>
      </w:r>
      <w:r>
        <w:rPr>
          <w:rFonts w:ascii="Times New Roman" w:hAnsi="Times New Roman" w:cs="Times New Roman"/>
        </w:rPr>
        <w:t xml:space="preserve">, </w:t>
      </w:r>
      <w:r>
        <w:rPr>
          <w:rFonts w:ascii="Times New Roman" w:hAnsi="Times New Roman" w:cs="Times New Roman"/>
          <w:i/>
          <w:iCs/>
        </w:rPr>
        <w:t>379</w:t>
      </w:r>
      <w:r>
        <w:rPr>
          <w:rFonts w:ascii="Times New Roman" w:hAnsi="Times New Roman" w:cs="Times New Roman"/>
        </w:rPr>
        <w:t>(9832), 2206–2211. https://doi.org/10.1016/S0140-6736(12)60685-0</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Schmidt, S., Neumann, B., Waweru, Y., Durussel, C., Unger, S., &amp; Visbeck, M. (n.d.). </w:t>
      </w:r>
      <w:r>
        <w:rPr>
          <w:rFonts w:ascii="Times New Roman" w:hAnsi="Times New Roman" w:cs="Times New Roman"/>
          <w:i/>
          <w:iCs/>
        </w:rPr>
        <w:t xml:space="preserve">No </w:t>
      </w:r>
      <w:r>
        <w:rPr>
          <w:rFonts w:ascii="Times New Roman" w:hAnsi="Times New Roman" w:eastAsia="MS Gothic" w:cs="Times New Roman"/>
          <w:i/>
          <w:iCs/>
        </w:rPr>
        <w:t>主観的健康感を中心とした在宅高齢者における</w:t>
      </w:r>
      <w:r>
        <w:rPr>
          <w:rFonts w:ascii="Times New Roman" w:hAnsi="Times New Roman" w:cs="Times New Roman"/>
          <w:i/>
          <w:iCs/>
        </w:rPr>
        <w:t xml:space="preserve"> </w:t>
      </w:r>
      <w:r>
        <w:rPr>
          <w:rFonts w:ascii="Times New Roman" w:hAnsi="Times New Roman" w:eastAsia="MS Gothic" w:cs="Times New Roman"/>
          <w:i/>
          <w:iCs/>
        </w:rPr>
        <w:t>健康関連指標に関する共分散構造分析</w:t>
      </w:r>
      <w:r>
        <w:rPr>
          <w:rFonts w:ascii="Times New Roman" w:hAnsi="Times New Roman" w:cs="Times New Roman"/>
          <w:i/>
          <w:iCs/>
        </w:rPr>
        <w:t>Title</w:t>
      </w:r>
      <w:r>
        <w:rPr>
          <w:rFonts w:ascii="Times New Roman" w:hAnsi="Times New Roman" w:cs="Times New Roman"/>
        </w:rPr>
        <w:t>.</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Stanton, P., &amp; Stanton, J. (2002). Corporate annual reports: Research perspectives used. </w:t>
      </w:r>
      <w:r>
        <w:rPr>
          <w:rFonts w:ascii="Times New Roman" w:hAnsi="Times New Roman" w:cs="Times New Roman"/>
          <w:i/>
          <w:iCs/>
        </w:rPr>
        <w:t>Accounting, Auditing &amp; Accountability Journal</w:t>
      </w:r>
      <w:r>
        <w:rPr>
          <w:rFonts w:ascii="Times New Roman" w:hAnsi="Times New Roman" w:cs="Times New Roman"/>
        </w:rPr>
        <w:t xml:space="preserve">, </w:t>
      </w:r>
      <w:r>
        <w:rPr>
          <w:rFonts w:ascii="Times New Roman" w:hAnsi="Times New Roman" w:cs="Times New Roman"/>
          <w:i/>
          <w:iCs/>
        </w:rPr>
        <w:t>15</w:t>
      </w:r>
      <w:r>
        <w:rPr>
          <w:rFonts w:ascii="Times New Roman" w:hAnsi="Times New Roman" w:cs="Times New Roman"/>
        </w:rPr>
        <w:t>(4), 478–500. https://doi.org/10.1108/09513570210440568</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Sustainable Development Solutions Network. (2015). Indicators and a Monitoring Framework for the Sustainable Development Goals: Launching a data revolution for the SDGs. </w:t>
      </w:r>
      <w:r>
        <w:rPr>
          <w:rFonts w:ascii="Times New Roman" w:hAnsi="Times New Roman" w:cs="Times New Roman"/>
          <w:i/>
          <w:iCs/>
        </w:rPr>
        <w:t>A Report by the Leadership Council of the Sustainable Development Solutions Network</w:t>
      </w:r>
      <w:r>
        <w:rPr>
          <w:rFonts w:ascii="Times New Roman" w:hAnsi="Times New Roman" w:cs="Times New Roman"/>
        </w:rPr>
        <w:t>, 160. http://unsdsn.org/wp-content/uploads/2015/03/150320-SDSN-Indicator-Report.pdf%0Ahttps://wedc-knowledge.lboro.ac.uk/details.html?id=22892</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Tsalis, T. A., Malamateniou, K. E., Koulouriotis, D., &amp; Nikolaou, I. E. (2020). New challenges for corporate sustainability reporting: United Nations’ 2030 Agenda for sustainable development and the sustainable development goals. </w:t>
      </w:r>
      <w:r>
        <w:rPr>
          <w:rFonts w:ascii="Times New Roman" w:hAnsi="Times New Roman" w:cs="Times New Roman"/>
          <w:i/>
          <w:iCs/>
        </w:rPr>
        <w:t>Corporate Social Responsibility and Environmental Management</w:t>
      </w:r>
      <w:r>
        <w:rPr>
          <w:rFonts w:ascii="Times New Roman" w:hAnsi="Times New Roman" w:cs="Times New Roman"/>
        </w:rPr>
        <w:t xml:space="preserve">, </w:t>
      </w:r>
      <w:r>
        <w:rPr>
          <w:rFonts w:ascii="Times New Roman" w:hAnsi="Times New Roman" w:cs="Times New Roman"/>
          <w:i/>
          <w:iCs/>
        </w:rPr>
        <w:t>27</w:t>
      </w:r>
      <w:r>
        <w:rPr>
          <w:rFonts w:ascii="Times New Roman" w:hAnsi="Times New Roman" w:cs="Times New Roman"/>
        </w:rPr>
        <w:t>(4), 1617–1629. https://doi.org/10.1002/csr.1910</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UNDG. (2017). </w:t>
      </w:r>
      <w:r>
        <w:rPr>
          <w:rFonts w:ascii="Times New Roman" w:hAnsi="Times New Roman" w:cs="Times New Roman"/>
          <w:i/>
          <w:iCs/>
        </w:rPr>
        <w:t>Guidelines To Support Country Reporting on the Sustainable Development Goals</w:t>
      </w:r>
      <w:r>
        <w:rPr>
          <w:rFonts w:ascii="Times New Roman" w:hAnsi="Times New Roman" w:cs="Times New Roman"/>
        </w:rPr>
        <w:t>. 1–62.</w:t>
      </w:r>
    </w:p>
    <w:p>
      <w:pPr>
        <w:widowControl w:val="0"/>
        <w:autoSpaceDE w:val="0"/>
        <w:autoSpaceDN w:val="0"/>
        <w:adjustRightInd w:val="0"/>
        <w:spacing w:line="276" w:lineRule="auto"/>
        <w:ind w:left="480" w:hanging="480"/>
        <w:jc w:val="both"/>
        <w:rPr>
          <w:rFonts w:ascii="Times New Roman" w:hAnsi="Times New Roman" w:cs="Times New Roman"/>
        </w:rPr>
      </w:pPr>
      <w:r>
        <w:rPr>
          <w:rFonts w:ascii="Times New Roman" w:hAnsi="Times New Roman" w:cs="Times New Roman"/>
        </w:rPr>
        <w:t xml:space="preserve">Weber, O. (2018). The Financial Sector and the SDGs Interconnections and Future Directions. </w:t>
      </w:r>
      <w:r>
        <w:rPr>
          <w:rFonts w:ascii="Times New Roman" w:hAnsi="Times New Roman" w:cs="Times New Roman"/>
          <w:i/>
          <w:iCs/>
        </w:rPr>
        <w:t>CIGI Papers</w:t>
      </w:r>
      <w:r>
        <w:rPr>
          <w:rFonts w:ascii="Times New Roman" w:hAnsi="Times New Roman" w:cs="Times New Roman"/>
        </w:rPr>
        <w:t xml:space="preserve">, </w:t>
      </w:r>
      <w:r>
        <w:rPr>
          <w:rFonts w:ascii="Times New Roman" w:hAnsi="Times New Roman" w:cs="Times New Roman"/>
          <w:i/>
          <w:iCs/>
        </w:rPr>
        <w:t>201</w:t>
      </w:r>
      <w:r>
        <w:rPr>
          <w:rFonts w:ascii="Times New Roman" w:hAnsi="Times New Roman" w:cs="Times New Roman"/>
        </w:rPr>
        <w:t>, 32.</w:t>
      </w:r>
    </w:p>
    <w:p>
      <w:pPr>
        <w:spacing w:line="276" w:lineRule="auto"/>
        <w:rPr>
          <w:rFonts w:ascii="Times New Roman" w:hAnsi="Times New Roman" w:cs="Times New Roman"/>
          <w:b/>
          <w:bCs/>
        </w:rPr>
      </w:pPr>
      <w:r>
        <w:rPr>
          <w:rFonts w:ascii="Times New Roman" w:hAnsi="Times New Roman" w:cs="Times New Roman"/>
        </w:rPr>
        <w:fldChar w:fldCharType="end"/>
      </w:r>
    </w:p>
    <w:sectPr>
      <w:footerReference r:id="rId6" w:type="first"/>
      <w:footerReference r:id="rId5" w:type="default"/>
      <w:pgSz w:w="10318" w:h="14570"/>
      <w:pgMar w:top="1152" w:right="1152" w:bottom="1152" w:left="1152" w:header="720" w:footer="144" w:gutter="144"/>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Iskoola Pota">
    <w:altName w:val="Segoe Print"/>
    <w:panose1 w:val="00000000000000000000"/>
    <w:charset w:val="00"/>
    <w:family w:val="swiss"/>
    <w:pitch w:val="default"/>
    <w:sig w:usb0="00000000" w:usb1="00000000" w:usb2="00000200" w:usb3="00000000" w:csb0="00000001"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等线">
    <w:altName w:val="Microsoft YaHei"/>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842447"/>
      <w:docPartObj>
        <w:docPartGallery w:val="AutoText"/>
      </w:docPartObj>
    </w:sdtPr>
    <w:sdtContent>
      <w:p>
        <w:pPr>
          <w:pStyle w:val="16"/>
          <w:jc w:val="center"/>
        </w:pPr>
        <w:r>
          <w:fldChar w:fldCharType="begin"/>
        </w:r>
        <w:r>
          <w:instrText xml:space="preserve"> PAGE   \* MERGEFORMAT </w:instrText>
        </w:r>
        <w:r>
          <w:fldChar w:fldCharType="separate"/>
        </w:r>
        <w:r>
          <w:t>2</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cs="Times New Roman"/>
        <w:sz w:val="20"/>
        <w:szCs w:val="20"/>
      </w:rPr>
    </w:pPr>
    <w:bookmarkStart w:id="18" w:name="_Hlk147827088"/>
    <w:r>
      <w:rPr>
        <w:rFonts w:ascii="Times New Roman" w:hAnsi="Times New Roman" w:cs="Times New Roman"/>
        <w:sz w:val="20"/>
        <w:szCs w:val="20"/>
        <w:vertAlign w:val="superscript"/>
      </w:rPr>
      <w:t>12</w:t>
    </w:r>
    <w:r>
      <w:rPr>
        <w:rFonts w:ascii="Times New Roman" w:hAnsi="Times New Roman" w:cs="Times New Roman"/>
        <w:sz w:val="20"/>
        <w:szCs w:val="20"/>
      </w:rPr>
      <w:t xml:space="preserve">Department of Finance, University of Kelaniya, Sri Lanka </w:t>
    </w:r>
    <w:r>
      <w:rPr>
        <w:rFonts w:ascii="Times New Roman" w:hAnsi="Times New Roman" w:cs="Times New Roman"/>
        <w:sz w:val="20"/>
        <w:szCs w:val="20"/>
        <w:vertAlign w:val="superscript"/>
      </w:rPr>
      <w:t>1</w:t>
    </w:r>
    <w:r>
      <w:fldChar w:fldCharType="begin"/>
    </w:r>
    <w:r>
      <w:instrText xml:space="preserve"> HYPERLINK "mailto:dushyantha619@gmail.com" </w:instrText>
    </w:r>
    <w:r>
      <w:fldChar w:fldCharType="separate"/>
    </w:r>
    <w:r>
      <w:rPr>
        <w:rStyle w:val="18"/>
        <w:rFonts w:ascii="Times New Roman" w:hAnsi="Times New Roman" w:cs="Times New Roman"/>
        <w:sz w:val="20"/>
        <w:szCs w:val="20"/>
      </w:rPr>
      <w:t>dushyantha619@gmail.com</w:t>
    </w:r>
    <w:r>
      <w:rPr>
        <w:rStyle w:val="18"/>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Pr>
        <w:rFonts w:ascii="Times New Roman" w:hAnsi="Times New Roman" w:cs="Times New Roman"/>
        <w:sz w:val="20"/>
        <w:szCs w:val="20"/>
      </w:rPr>
      <w:t>susima@kln.ac.lk</w:t>
    </w:r>
  </w:p>
  <w:bookmarkEnd w:id="18"/>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E0A07"/>
    <w:multiLevelType w:val="multilevel"/>
    <w:tmpl w:val="1BAE0A07"/>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2EF2B09"/>
    <w:multiLevelType w:val="multilevel"/>
    <w:tmpl w:val="32EF2B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76697C3C"/>
    <w:multiLevelType w:val="multilevel"/>
    <w:tmpl w:val="76697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64"/>
    <w:rsid w:val="00010C67"/>
    <w:rsid w:val="0001717E"/>
    <w:rsid w:val="000221CF"/>
    <w:rsid w:val="00022EDE"/>
    <w:rsid w:val="00024DCE"/>
    <w:rsid w:val="00036250"/>
    <w:rsid w:val="00065E00"/>
    <w:rsid w:val="000678DD"/>
    <w:rsid w:val="000A3DC4"/>
    <w:rsid w:val="000A7DCD"/>
    <w:rsid w:val="000B2E5C"/>
    <w:rsid w:val="000C2A03"/>
    <w:rsid w:val="000C380C"/>
    <w:rsid w:val="000C3E39"/>
    <w:rsid w:val="000D33D9"/>
    <w:rsid w:val="000D73BC"/>
    <w:rsid w:val="000E39E2"/>
    <w:rsid w:val="000E7DFE"/>
    <w:rsid w:val="00112501"/>
    <w:rsid w:val="00113E8B"/>
    <w:rsid w:val="00115E5E"/>
    <w:rsid w:val="00116D4E"/>
    <w:rsid w:val="001256CC"/>
    <w:rsid w:val="00126E37"/>
    <w:rsid w:val="001312EB"/>
    <w:rsid w:val="00131B75"/>
    <w:rsid w:val="00143AAD"/>
    <w:rsid w:val="00151C69"/>
    <w:rsid w:val="00152928"/>
    <w:rsid w:val="00162DDB"/>
    <w:rsid w:val="0017055A"/>
    <w:rsid w:val="00175156"/>
    <w:rsid w:val="001A0AC7"/>
    <w:rsid w:val="001C7071"/>
    <w:rsid w:val="001D00D2"/>
    <w:rsid w:val="001D1782"/>
    <w:rsid w:val="001D29CA"/>
    <w:rsid w:val="001D3BA3"/>
    <w:rsid w:val="001E1986"/>
    <w:rsid w:val="001E4016"/>
    <w:rsid w:val="001E5C02"/>
    <w:rsid w:val="001E7F5D"/>
    <w:rsid w:val="0021724B"/>
    <w:rsid w:val="002210C7"/>
    <w:rsid w:val="00234431"/>
    <w:rsid w:val="00236606"/>
    <w:rsid w:val="00237085"/>
    <w:rsid w:val="00240736"/>
    <w:rsid w:val="00247595"/>
    <w:rsid w:val="00254B5A"/>
    <w:rsid w:val="00254BFF"/>
    <w:rsid w:val="00255FB7"/>
    <w:rsid w:val="00260F22"/>
    <w:rsid w:val="002630BB"/>
    <w:rsid w:val="00270363"/>
    <w:rsid w:val="00271AFF"/>
    <w:rsid w:val="002879B8"/>
    <w:rsid w:val="002A13D4"/>
    <w:rsid w:val="002A4020"/>
    <w:rsid w:val="002A4C84"/>
    <w:rsid w:val="002A6DE8"/>
    <w:rsid w:val="002A7447"/>
    <w:rsid w:val="002B4500"/>
    <w:rsid w:val="002B6372"/>
    <w:rsid w:val="002C0376"/>
    <w:rsid w:val="002C3AF2"/>
    <w:rsid w:val="002D0FEA"/>
    <w:rsid w:val="002D38AB"/>
    <w:rsid w:val="002D58E5"/>
    <w:rsid w:val="002D6423"/>
    <w:rsid w:val="002D6A17"/>
    <w:rsid w:val="002F4452"/>
    <w:rsid w:val="00300929"/>
    <w:rsid w:val="00310BCE"/>
    <w:rsid w:val="0031437F"/>
    <w:rsid w:val="00314BC5"/>
    <w:rsid w:val="00333C92"/>
    <w:rsid w:val="00342281"/>
    <w:rsid w:val="003464FF"/>
    <w:rsid w:val="00352F60"/>
    <w:rsid w:val="00353F0D"/>
    <w:rsid w:val="00362F9A"/>
    <w:rsid w:val="00371E65"/>
    <w:rsid w:val="0037449E"/>
    <w:rsid w:val="00387ADA"/>
    <w:rsid w:val="00390541"/>
    <w:rsid w:val="003B5539"/>
    <w:rsid w:val="003B707B"/>
    <w:rsid w:val="003B784F"/>
    <w:rsid w:val="003C472D"/>
    <w:rsid w:val="003E00C2"/>
    <w:rsid w:val="003E50A3"/>
    <w:rsid w:val="003F4B59"/>
    <w:rsid w:val="0040333E"/>
    <w:rsid w:val="00417D97"/>
    <w:rsid w:val="00420189"/>
    <w:rsid w:val="004244C6"/>
    <w:rsid w:val="004321B6"/>
    <w:rsid w:val="004427E2"/>
    <w:rsid w:val="00473AF7"/>
    <w:rsid w:val="00477843"/>
    <w:rsid w:val="00481000"/>
    <w:rsid w:val="004818F1"/>
    <w:rsid w:val="00482292"/>
    <w:rsid w:val="0048439C"/>
    <w:rsid w:val="00487B9E"/>
    <w:rsid w:val="004A0561"/>
    <w:rsid w:val="004A5E9A"/>
    <w:rsid w:val="004A6AAA"/>
    <w:rsid w:val="004B1720"/>
    <w:rsid w:val="004B3466"/>
    <w:rsid w:val="004D033D"/>
    <w:rsid w:val="004D2DA9"/>
    <w:rsid w:val="004E4397"/>
    <w:rsid w:val="004E5043"/>
    <w:rsid w:val="004F59C6"/>
    <w:rsid w:val="005053D0"/>
    <w:rsid w:val="0053242D"/>
    <w:rsid w:val="00540B56"/>
    <w:rsid w:val="00540F1C"/>
    <w:rsid w:val="00543646"/>
    <w:rsid w:val="00551011"/>
    <w:rsid w:val="00554AD2"/>
    <w:rsid w:val="005564F8"/>
    <w:rsid w:val="005716ED"/>
    <w:rsid w:val="00594CC4"/>
    <w:rsid w:val="005A2269"/>
    <w:rsid w:val="005C1923"/>
    <w:rsid w:val="005D2A23"/>
    <w:rsid w:val="005D607C"/>
    <w:rsid w:val="005D68F2"/>
    <w:rsid w:val="005D73A8"/>
    <w:rsid w:val="005E4E79"/>
    <w:rsid w:val="005F066E"/>
    <w:rsid w:val="005F2B12"/>
    <w:rsid w:val="005F5561"/>
    <w:rsid w:val="005F6997"/>
    <w:rsid w:val="006210B1"/>
    <w:rsid w:val="006218A8"/>
    <w:rsid w:val="00632FB3"/>
    <w:rsid w:val="006409F3"/>
    <w:rsid w:val="006605EE"/>
    <w:rsid w:val="006626FA"/>
    <w:rsid w:val="00664A09"/>
    <w:rsid w:val="00682019"/>
    <w:rsid w:val="00687025"/>
    <w:rsid w:val="006A00DB"/>
    <w:rsid w:val="006A1CD4"/>
    <w:rsid w:val="006A6360"/>
    <w:rsid w:val="006B21B1"/>
    <w:rsid w:val="006B3419"/>
    <w:rsid w:val="006B39B3"/>
    <w:rsid w:val="006B4509"/>
    <w:rsid w:val="006C160E"/>
    <w:rsid w:val="006C3A3F"/>
    <w:rsid w:val="006D4C8D"/>
    <w:rsid w:val="006F67CA"/>
    <w:rsid w:val="007050CA"/>
    <w:rsid w:val="0070587E"/>
    <w:rsid w:val="00713B34"/>
    <w:rsid w:val="00744FF7"/>
    <w:rsid w:val="007537EF"/>
    <w:rsid w:val="00760313"/>
    <w:rsid w:val="00765CB0"/>
    <w:rsid w:val="0077283A"/>
    <w:rsid w:val="00780269"/>
    <w:rsid w:val="007843E1"/>
    <w:rsid w:val="00786A43"/>
    <w:rsid w:val="00792911"/>
    <w:rsid w:val="007943AC"/>
    <w:rsid w:val="00794ED7"/>
    <w:rsid w:val="007A2230"/>
    <w:rsid w:val="007B17E0"/>
    <w:rsid w:val="007B410A"/>
    <w:rsid w:val="007B5CE4"/>
    <w:rsid w:val="007B6FC9"/>
    <w:rsid w:val="007C30D3"/>
    <w:rsid w:val="007C5876"/>
    <w:rsid w:val="007D0628"/>
    <w:rsid w:val="007D07F0"/>
    <w:rsid w:val="007D296D"/>
    <w:rsid w:val="007D5A84"/>
    <w:rsid w:val="007E60ED"/>
    <w:rsid w:val="00804804"/>
    <w:rsid w:val="00806640"/>
    <w:rsid w:val="0080673D"/>
    <w:rsid w:val="008149D8"/>
    <w:rsid w:val="00817FFD"/>
    <w:rsid w:val="00825B83"/>
    <w:rsid w:val="00827A42"/>
    <w:rsid w:val="00841C14"/>
    <w:rsid w:val="00841F88"/>
    <w:rsid w:val="00851DC6"/>
    <w:rsid w:val="008545F1"/>
    <w:rsid w:val="00864A9C"/>
    <w:rsid w:val="00865FC0"/>
    <w:rsid w:val="0087577D"/>
    <w:rsid w:val="00884880"/>
    <w:rsid w:val="0089476F"/>
    <w:rsid w:val="00897F3C"/>
    <w:rsid w:val="008A7C65"/>
    <w:rsid w:val="008B0A5F"/>
    <w:rsid w:val="008B323D"/>
    <w:rsid w:val="008B364C"/>
    <w:rsid w:val="008C190E"/>
    <w:rsid w:val="008C3964"/>
    <w:rsid w:val="008C7F41"/>
    <w:rsid w:val="008D1A43"/>
    <w:rsid w:val="008F320A"/>
    <w:rsid w:val="008F3C57"/>
    <w:rsid w:val="0090162C"/>
    <w:rsid w:val="00910EA6"/>
    <w:rsid w:val="009110D7"/>
    <w:rsid w:val="00926CB4"/>
    <w:rsid w:val="00930EA4"/>
    <w:rsid w:val="0094690C"/>
    <w:rsid w:val="0095090D"/>
    <w:rsid w:val="009533A9"/>
    <w:rsid w:val="009534D8"/>
    <w:rsid w:val="009540DC"/>
    <w:rsid w:val="00975E38"/>
    <w:rsid w:val="00977968"/>
    <w:rsid w:val="00984107"/>
    <w:rsid w:val="009914F6"/>
    <w:rsid w:val="009A6CBC"/>
    <w:rsid w:val="009B0A4F"/>
    <w:rsid w:val="009B5DB0"/>
    <w:rsid w:val="009C2B9F"/>
    <w:rsid w:val="009C42AB"/>
    <w:rsid w:val="009E2B41"/>
    <w:rsid w:val="009F4754"/>
    <w:rsid w:val="009F5C6C"/>
    <w:rsid w:val="009F5F50"/>
    <w:rsid w:val="00A03D83"/>
    <w:rsid w:val="00A072B7"/>
    <w:rsid w:val="00A07897"/>
    <w:rsid w:val="00A40B5E"/>
    <w:rsid w:val="00A4127F"/>
    <w:rsid w:val="00A51D53"/>
    <w:rsid w:val="00A67341"/>
    <w:rsid w:val="00A801EE"/>
    <w:rsid w:val="00A92745"/>
    <w:rsid w:val="00A93C2D"/>
    <w:rsid w:val="00AB0290"/>
    <w:rsid w:val="00AB3957"/>
    <w:rsid w:val="00AB4895"/>
    <w:rsid w:val="00AC44EA"/>
    <w:rsid w:val="00AE4F83"/>
    <w:rsid w:val="00AE73F9"/>
    <w:rsid w:val="00AF05D6"/>
    <w:rsid w:val="00AF4BCB"/>
    <w:rsid w:val="00AF5C24"/>
    <w:rsid w:val="00AF7648"/>
    <w:rsid w:val="00B11719"/>
    <w:rsid w:val="00B1765A"/>
    <w:rsid w:val="00B27ED6"/>
    <w:rsid w:val="00B40A4D"/>
    <w:rsid w:val="00B479A2"/>
    <w:rsid w:val="00B50F1E"/>
    <w:rsid w:val="00B54520"/>
    <w:rsid w:val="00B67F39"/>
    <w:rsid w:val="00B72702"/>
    <w:rsid w:val="00B75A41"/>
    <w:rsid w:val="00B760AA"/>
    <w:rsid w:val="00B81CE3"/>
    <w:rsid w:val="00B840F8"/>
    <w:rsid w:val="00BA1E85"/>
    <w:rsid w:val="00BA29C8"/>
    <w:rsid w:val="00BA7D0C"/>
    <w:rsid w:val="00BB3904"/>
    <w:rsid w:val="00BB700B"/>
    <w:rsid w:val="00BC4C0E"/>
    <w:rsid w:val="00BC4D93"/>
    <w:rsid w:val="00BC6109"/>
    <w:rsid w:val="00BC788D"/>
    <w:rsid w:val="00BD2FFF"/>
    <w:rsid w:val="00BD4BF0"/>
    <w:rsid w:val="00BE05BB"/>
    <w:rsid w:val="00C22829"/>
    <w:rsid w:val="00C324B9"/>
    <w:rsid w:val="00C41307"/>
    <w:rsid w:val="00C43A61"/>
    <w:rsid w:val="00C43ED5"/>
    <w:rsid w:val="00C472A8"/>
    <w:rsid w:val="00C519EA"/>
    <w:rsid w:val="00C64E59"/>
    <w:rsid w:val="00CA05B0"/>
    <w:rsid w:val="00CA7D07"/>
    <w:rsid w:val="00CC5A9F"/>
    <w:rsid w:val="00CE1AA6"/>
    <w:rsid w:val="00CE3AE9"/>
    <w:rsid w:val="00CE5B1B"/>
    <w:rsid w:val="00D0477E"/>
    <w:rsid w:val="00D04D68"/>
    <w:rsid w:val="00D1660C"/>
    <w:rsid w:val="00D2312D"/>
    <w:rsid w:val="00D23DA9"/>
    <w:rsid w:val="00D27E2A"/>
    <w:rsid w:val="00D37003"/>
    <w:rsid w:val="00D37FD4"/>
    <w:rsid w:val="00D4302C"/>
    <w:rsid w:val="00D43CF3"/>
    <w:rsid w:val="00D50E66"/>
    <w:rsid w:val="00D62632"/>
    <w:rsid w:val="00D6357C"/>
    <w:rsid w:val="00D70A56"/>
    <w:rsid w:val="00D86BDA"/>
    <w:rsid w:val="00D95E47"/>
    <w:rsid w:val="00DA081B"/>
    <w:rsid w:val="00DA0C75"/>
    <w:rsid w:val="00DA122B"/>
    <w:rsid w:val="00DA24CC"/>
    <w:rsid w:val="00DA50DD"/>
    <w:rsid w:val="00DB7659"/>
    <w:rsid w:val="00DC346A"/>
    <w:rsid w:val="00DC3B17"/>
    <w:rsid w:val="00DC6E54"/>
    <w:rsid w:val="00DD2C9E"/>
    <w:rsid w:val="00DF6DC0"/>
    <w:rsid w:val="00E068B0"/>
    <w:rsid w:val="00E11276"/>
    <w:rsid w:val="00E12F60"/>
    <w:rsid w:val="00E14EF3"/>
    <w:rsid w:val="00E1651A"/>
    <w:rsid w:val="00E31162"/>
    <w:rsid w:val="00E3419A"/>
    <w:rsid w:val="00E52857"/>
    <w:rsid w:val="00E64850"/>
    <w:rsid w:val="00E67813"/>
    <w:rsid w:val="00EA65C9"/>
    <w:rsid w:val="00EB20AD"/>
    <w:rsid w:val="00EB3F5D"/>
    <w:rsid w:val="00EB6CF3"/>
    <w:rsid w:val="00EF5A55"/>
    <w:rsid w:val="00EF64BF"/>
    <w:rsid w:val="00F17550"/>
    <w:rsid w:val="00F205BC"/>
    <w:rsid w:val="00F25F63"/>
    <w:rsid w:val="00F30F09"/>
    <w:rsid w:val="00F31393"/>
    <w:rsid w:val="00F319A5"/>
    <w:rsid w:val="00F32850"/>
    <w:rsid w:val="00F3440C"/>
    <w:rsid w:val="00F40B83"/>
    <w:rsid w:val="00F445BF"/>
    <w:rsid w:val="00F52E27"/>
    <w:rsid w:val="00F54C2F"/>
    <w:rsid w:val="00F647B6"/>
    <w:rsid w:val="00F6604D"/>
    <w:rsid w:val="00F70337"/>
    <w:rsid w:val="00F72136"/>
    <w:rsid w:val="00F74B5B"/>
    <w:rsid w:val="00F863E9"/>
    <w:rsid w:val="00F86425"/>
    <w:rsid w:val="00F900B3"/>
    <w:rsid w:val="00F90C6B"/>
    <w:rsid w:val="00F91DC1"/>
    <w:rsid w:val="00F97881"/>
    <w:rsid w:val="00FA5BA3"/>
    <w:rsid w:val="00FA684B"/>
    <w:rsid w:val="00FB1A9E"/>
    <w:rsid w:val="00FB76C4"/>
    <w:rsid w:val="00FC1948"/>
    <w:rsid w:val="00FC498E"/>
    <w:rsid w:val="00FC769D"/>
    <w:rsid w:val="00FD0F1B"/>
    <w:rsid w:val="00FD14F6"/>
    <w:rsid w:val="00FD3943"/>
    <w:rsid w:val="00FD4DAA"/>
    <w:rsid w:val="00FF160C"/>
    <w:rsid w:val="13C654B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si-LK"/>
    </w:rPr>
  </w:style>
  <w:style w:type="paragraph" w:styleId="2">
    <w:name w:val="heading 1"/>
    <w:basedOn w:val="1"/>
    <w:next w:val="1"/>
    <w:link w:val="25"/>
    <w:qFormat/>
    <w:uiPriority w:val="9"/>
    <w:pPr>
      <w:keepNext/>
      <w:keepLines/>
      <w:numPr>
        <w:ilvl w:val="0"/>
        <w:numId w:val="1"/>
      </w:numPr>
      <w:spacing w:before="240" w:after="0"/>
      <w:outlineLvl w:val="0"/>
    </w:pPr>
    <w:rPr>
      <w:rFonts w:ascii="Times New Roman" w:hAnsi="Times New Roman" w:eastAsiaTheme="majorEastAsia" w:cstheme="majorBidi"/>
      <w:b/>
      <w:sz w:val="28"/>
      <w:szCs w:val="32"/>
    </w:rPr>
  </w:style>
  <w:style w:type="paragraph" w:styleId="3">
    <w:name w:val="heading 2"/>
    <w:basedOn w:val="1"/>
    <w:next w:val="1"/>
    <w:link w:val="26"/>
    <w:unhideWhenUsed/>
    <w:qFormat/>
    <w:uiPriority w:val="9"/>
    <w:pPr>
      <w:keepNext/>
      <w:keepLines/>
      <w:numPr>
        <w:ilvl w:val="1"/>
        <w:numId w:val="1"/>
      </w:numPr>
      <w:spacing w:before="40" w:after="0"/>
      <w:outlineLvl w:val="1"/>
    </w:pPr>
    <w:rPr>
      <w:rFonts w:ascii="Times New Roman" w:hAnsi="Times New Roman" w:eastAsiaTheme="majorEastAsia" w:cstheme="majorBidi"/>
      <w:b/>
      <w:sz w:val="24"/>
      <w:szCs w:val="26"/>
    </w:rPr>
  </w:style>
  <w:style w:type="paragraph" w:styleId="4">
    <w:name w:val="heading 3"/>
    <w:basedOn w:val="1"/>
    <w:next w:val="1"/>
    <w:link w:val="28"/>
    <w:unhideWhenUsed/>
    <w:qFormat/>
    <w:uiPriority w:val="9"/>
    <w:pPr>
      <w:keepNext/>
      <w:keepLines/>
      <w:numPr>
        <w:ilvl w:val="2"/>
        <w:numId w:val="1"/>
      </w:numPr>
      <w:spacing w:before="40" w:after="0" w:line="256" w:lineRule="auto"/>
      <w:outlineLvl w:val="2"/>
    </w:pPr>
    <w:rPr>
      <w:rFonts w:ascii="Times New Roman" w:hAnsi="Times New Roman" w:eastAsiaTheme="majorEastAsia" w:cstheme="majorBidi"/>
      <w:i/>
      <w:sz w:val="24"/>
      <w:szCs w:val="24"/>
      <w:lang w:bidi="ar-SA"/>
    </w:rPr>
  </w:style>
  <w:style w:type="paragraph" w:styleId="5">
    <w:name w:val="heading 4"/>
    <w:basedOn w:val="1"/>
    <w:next w:val="1"/>
    <w:link w:val="29"/>
    <w:unhideWhenUsed/>
    <w:qFormat/>
    <w:uiPriority w:val="9"/>
    <w:pPr>
      <w:keepNext/>
      <w:keepLines/>
      <w:numPr>
        <w:ilvl w:val="3"/>
        <w:numId w:val="1"/>
      </w:numPr>
      <w:spacing w:before="40" w:after="0" w:line="256" w:lineRule="auto"/>
      <w:outlineLvl w:val="3"/>
    </w:pPr>
    <w:rPr>
      <w:rFonts w:asciiTheme="majorHAnsi" w:hAnsiTheme="majorHAnsi" w:eastAsiaTheme="majorEastAsia" w:cstheme="majorBidi"/>
      <w:i/>
      <w:iCs/>
      <w:color w:val="2E75B6" w:themeColor="accent1" w:themeShade="BF"/>
      <w:sz w:val="24"/>
      <w:lang w:bidi="ar-SA"/>
    </w:rPr>
  </w:style>
  <w:style w:type="paragraph" w:styleId="6">
    <w:name w:val="heading 5"/>
    <w:basedOn w:val="1"/>
    <w:next w:val="1"/>
    <w:link w:val="30"/>
    <w:semiHidden/>
    <w:unhideWhenUsed/>
    <w:qFormat/>
    <w:uiPriority w:val="9"/>
    <w:pPr>
      <w:keepNext/>
      <w:keepLines/>
      <w:numPr>
        <w:ilvl w:val="4"/>
        <w:numId w:val="1"/>
      </w:numPr>
      <w:spacing w:before="40" w:after="0" w:line="256" w:lineRule="auto"/>
      <w:outlineLvl w:val="4"/>
    </w:pPr>
    <w:rPr>
      <w:rFonts w:asciiTheme="majorHAnsi" w:hAnsiTheme="majorHAnsi" w:eastAsiaTheme="majorEastAsia" w:cstheme="majorBidi"/>
      <w:color w:val="2E75B6" w:themeColor="accent1" w:themeShade="BF"/>
      <w:sz w:val="24"/>
      <w:lang w:bidi="ar-SA"/>
    </w:rPr>
  </w:style>
  <w:style w:type="paragraph" w:styleId="7">
    <w:name w:val="heading 6"/>
    <w:basedOn w:val="1"/>
    <w:next w:val="1"/>
    <w:link w:val="31"/>
    <w:semiHidden/>
    <w:unhideWhenUsed/>
    <w:qFormat/>
    <w:uiPriority w:val="9"/>
    <w:pPr>
      <w:keepNext/>
      <w:keepLines/>
      <w:numPr>
        <w:ilvl w:val="5"/>
        <w:numId w:val="1"/>
      </w:numPr>
      <w:spacing w:before="40" w:after="0" w:line="256" w:lineRule="auto"/>
      <w:outlineLvl w:val="5"/>
    </w:pPr>
    <w:rPr>
      <w:rFonts w:asciiTheme="majorHAnsi" w:hAnsiTheme="majorHAnsi" w:eastAsiaTheme="majorEastAsia" w:cstheme="majorBidi"/>
      <w:color w:val="1F4E79" w:themeColor="accent1" w:themeShade="80"/>
      <w:sz w:val="24"/>
      <w:lang w:bidi="ar-SA"/>
    </w:rPr>
  </w:style>
  <w:style w:type="paragraph" w:styleId="8">
    <w:name w:val="heading 7"/>
    <w:basedOn w:val="1"/>
    <w:next w:val="1"/>
    <w:link w:val="32"/>
    <w:semiHidden/>
    <w:unhideWhenUsed/>
    <w:qFormat/>
    <w:uiPriority w:val="9"/>
    <w:pPr>
      <w:keepNext/>
      <w:keepLines/>
      <w:numPr>
        <w:ilvl w:val="6"/>
        <w:numId w:val="1"/>
      </w:numPr>
      <w:spacing w:before="40" w:after="0" w:line="256" w:lineRule="auto"/>
      <w:outlineLvl w:val="6"/>
    </w:pPr>
    <w:rPr>
      <w:rFonts w:asciiTheme="majorHAnsi" w:hAnsiTheme="majorHAnsi" w:eastAsiaTheme="majorEastAsia" w:cstheme="majorBidi"/>
      <w:i/>
      <w:iCs/>
      <w:color w:val="1F4E79" w:themeColor="accent1" w:themeShade="80"/>
      <w:sz w:val="24"/>
      <w:lang w:bidi="ar-SA"/>
    </w:rPr>
  </w:style>
  <w:style w:type="paragraph" w:styleId="9">
    <w:name w:val="heading 8"/>
    <w:basedOn w:val="1"/>
    <w:next w:val="1"/>
    <w:link w:val="33"/>
    <w:semiHidden/>
    <w:unhideWhenUsed/>
    <w:qFormat/>
    <w:uiPriority w:val="9"/>
    <w:pPr>
      <w:keepNext/>
      <w:keepLines/>
      <w:numPr>
        <w:ilvl w:val="7"/>
        <w:numId w:val="1"/>
      </w:numPr>
      <w:spacing w:before="40" w:after="0" w:line="256" w:lineRule="auto"/>
      <w:outlineLvl w:val="7"/>
    </w:pPr>
    <w:rPr>
      <w:rFonts w:asciiTheme="majorHAnsi" w:hAnsiTheme="majorHAnsi" w:eastAsiaTheme="majorEastAsia" w:cstheme="majorBidi"/>
      <w:color w:val="262626" w:themeColor="text1" w:themeTint="D9"/>
      <w:sz w:val="21"/>
      <w:szCs w:val="21"/>
      <w:lang w:bidi="ar-SA"/>
      <w14:textFill>
        <w14:solidFill>
          <w14:schemeClr w14:val="tx1">
            <w14:lumMod w14:val="85000"/>
            <w14:lumOff w14:val="15000"/>
          </w14:schemeClr>
        </w14:solidFill>
      </w14:textFill>
    </w:rPr>
  </w:style>
  <w:style w:type="paragraph" w:styleId="10">
    <w:name w:val="heading 9"/>
    <w:basedOn w:val="1"/>
    <w:next w:val="1"/>
    <w:link w:val="34"/>
    <w:semiHidden/>
    <w:unhideWhenUsed/>
    <w:qFormat/>
    <w:uiPriority w:val="9"/>
    <w:pPr>
      <w:keepNext/>
      <w:keepLines/>
      <w:numPr>
        <w:ilvl w:val="8"/>
        <w:numId w:val="1"/>
      </w:numPr>
      <w:spacing w:before="40" w:after="0" w:line="256" w:lineRule="auto"/>
      <w:outlineLvl w:val="8"/>
    </w:pPr>
    <w:rPr>
      <w:rFonts w:asciiTheme="majorHAnsi" w:hAnsiTheme="majorHAnsi" w:eastAsiaTheme="majorEastAsia" w:cstheme="majorBidi"/>
      <w:i/>
      <w:iCs/>
      <w:color w:val="262626" w:themeColor="text1" w:themeTint="D9"/>
      <w:sz w:val="21"/>
      <w:szCs w:val="21"/>
      <w:lang w:bidi="ar-SA"/>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9"/>
    <w:semiHidden/>
    <w:unhideWhenUsed/>
    <w:qFormat/>
    <w:uiPriority w:val="99"/>
    <w:pPr>
      <w:spacing w:after="0" w:line="240" w:lineRule="auto"/>
    </w:pPr>
    <w:rPr>
      <w:rFonts w:ascii="Tahoma" w:hAnsi="Tahoma" w:cs="Tahoma"/>
      <w:sz w:val="16"/>
      <w:szCs w:val="16"/>
    </w:rPr>
  </w:style>
  <w:style w:type="paragraph" w:styleId="14">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5">
    <w:name w:val="Emphasis"/>
    <w:basedOn w:val="11"/>
    <w:qFormat/>
    <w:uiPriority w:val="20"/>
    <w:rPr>
      <w:i/>
      <w:iCs/>
    </w:rPr>
  </w:style>
  <w:style w:type="paragraph" w:styleId="16">
    <w:name w:val="footer"/>
    <w:basedOn w:val="1"/>
    <w:link w:val="37"/>
    <w:unhideWhenUsed/>
    <w:uiPriority w:val="99"/>
    <w:pPr>
      <w:tabs>
        <w:tab w:val="center" w:pos="4680"/>
        <w:tab w:val="right" w:pos="9360"/>
      </w:tabs>
      <w:spacing w:after="0" w:line="240" w:lineRule="auto"/>
    </w:pPr>
  </w:style>
  <w:style w:type="paragraph" w:styleId="17">
    <w:name w:val="header"/>
    <w:basedOn w:val="1"/>
    <w:link w:val="36"/>
    <w:unhideWhenUsed/>
    <w:uiPriority w:val="99"/>
    <w:pPr>
      <w:tabs>
        <w:tab w:val="center" w:pos="4680"/>
        <w:tab w:val="right" w:pos="9360"/>
      </w:tabs>
      <w:spacing w:after="0" w:line="240" w:lineRule="auto"/>
    </w:pPr>
  </w:style>
  <w:style w:type="character" w:styleId="18">
    <w:name w:val="Hyperlink"/>
    <w:basedOn w:val="11"/>
    <w:unhideWhenUsed/>
    <w:qFormat/>
    <w:uiPriority w:val="99"/>
    <w:rPr>
      <w:color w:val="0563C1" w:themeColor="hyperlink"/>
      <w:u w:val="single"/>
      <w14:textFill>
        <w14:solidFill>
          <w14:schemeClr w14:val="hlink"/>
        </w14:solidFill>
      </w14:textFill>
    </w:rPr>
  </w:style>
  <w:style w:type="table" w:styleId="19">
    <w:name w:val="Table Grid"/>
    <w:basedOn w:val="12"/>
    <w:qFormat/>
    <w:uiPriority w:val="39"/>
    <w:pPr>
      <w:spacing w:after="0" w:line="240" w:lineRule="auto"/>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able of figures"/>
    <w:basedOn w:val="1"/>
    <w:next w:val="1"/>
    <w:unhideWhenUsed/>
    <w:qFormat/>
    <w:uiPriority w:val="99"/>
    <w:pPr>
      <w:spacing w:after="0"/>
    </w:pPr>
  </w:style>
  <w:style w:type="paragraph" w:styleId="21">
    <w:name w:val="Title"/>
    <w:basedOn w:val="1"/>
    <w:next w:val="1"/>
    <w:link w:val="43"/>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22">
    <w:name w:val="toc 1"/>
    <w:basedOn w:val="1"/>
    <w:next w:val="1"/>
    <w:unhideWhenUsed/>
    <w:uiPriority w:val="39"/>
    <w:pPr>
      <w:spacing w:after="100"/>
    </w:pPr>
  </w:style>
  <w:style w:type="paragraph" w:styleId="23">
    <w:name w:val="toc 2"/>
    <w:basedOn w:val="1"/>
    <w:next w:val="1"/>
    <w:unhideWhenUsed/>
    <w:uiPriority w:val="39"/>
    <w:pPr>
      <w:spacing w:after="100"/>
      <w:ind w:left="220"/>
    </w:pPr>
  </w:style>
  <w:style w:type="paragraph" w:styleId="24">
    <w:name w:val="toc 3"/>
    <w:basedOn w:val="1"/>
    <w:next w:val="1"/>
    <w:unhideWhenUsed/>
    <w:qFormat/>
    <w:uiPriority w:val="39"/>
    <w:pPr>
      <w:spacing w:after="100"/>
      <w:ind w:left="440"/>
    </w:pPr>
  </w:style>
  <w:style w:type="character" w:customStyle="1" w:styleId="25">
    <w:name w:val="Heading 1 Char"/>
    <w:basedOn w:val="11"/>
    <w:link w:val="2"/>
    <w:qFormat/>
    <w:uiPriority w:val="9"/>
    <w:rPr>
      <w:rFonts w:ascii="Times New Roman" w:hAnsi="Times New Roman" w:eastAsiaTheme="majorEastAsia" w:cstheme="majorBidi"/>
      <w:b/>
      <w:sz w:val="28"/>
      <w:szCs w:val="32"/>
    </w:rPr>
  </w:style>
  <w:style w:type="character" w:customStyle="1" w:styleId="26">
    <w:name w:val="Heading 2 Char"/>
    <w:basedOn w:val="11"/>
    <w:link w:val="3"/>
    <w:qFormat/>
    <w:uiPriority w:val="9"/>
    <w:rPr>
      <w:rFonts w:ascii="Times New Roman" w:hAnsi="Times New Roman" w:eastAsiaTheme="majorEastAsia" w:cstheme="majorBidi"/>
      <w:b/>
      <w:sz w:val="24"/>
      <w:szCs w:val="26"/>
    </w:rPr>
  </w:style>
  <w:style w:type="paragraph" w:styleId="27">
    <w:name w:val="List Paragraph"/>
    <w:basedOn w:val="1"/>
    <w:qFormat/>
    <w:uiPriority w:val="34"/>
    <w:pPr>
      <w:ind w:left="720"/>
      <w:contextualSpacing/>
    </w:pPr>
  </w:style>
  <w:style w:type="character" w:customStyle="1" w:styleId="28">
    <w:name w:val="Heading 3 Char"/>
    <w:basedOn w:val="11"/>
    <w:link w:val="4"/>
    <w:qFormat/>
    <w:uiPriority w:val="9"/>
    <w:rPr>
      <w:rFonts w:ascii="Times New Roman" w:hAnsi="Times New Roman" w:eastAsiaTheme="majorEastAsia" w:cstheme="majorBidi"/>
      <w:i/>
      <w:sz w:val="24"/>
      <w:szCs w:val="24"/>
      <w:lang w:bidi="ar-SA"/>
    </w:rPr>
  </w:style>
  <w:style w:type="character" w:customStyle="1" w:styleId="29">
    <w:name w:val="Heading 4 Char"/>
    <w:basedOn w:val="11"/>
    <w:link w:val="5"/>
    <w:uiPriority w:val="9"/>
    <w:rPr>
      <w:rFonts w:asciiTheme="majorHAnsi" w:hAnsiTheme="majorHAnsi" w:eastAsiaTheme="majorEastAsia" w:cstheme="majorBidi"/>
      <w:i/>
      <w:iCs/>
      <w:color w:val="2E75B6" w:themeColor="accent1" w:themeShade="BF"/>
      <w:sz w:val="24"/>
      <w:lang w:bidi="ar-SA"/>
    </w:rPr>
  </w:style>
  <w:style w:type="character" w:customStyle="1" w:styleId="30">
    <w:name w:val="Heading 5 Char"/>
    <w:basedOn w:val="11"/>
    <w:link w:val="6"/>
    <w:semiHidden/>
    <w:uiPriority w:val="9"/>
    <w:rPr>
      <w:rFonts w:asciiTheme="majorHAnsi" w:hAnsiTheme="majorHAnsi" w:eastAsiaTheme="majorEastAsia" w:cstheme="majorBidi"/>
      <w:color w:val="2E75B6" w:themeColor="accent1" w:themeShade="BF"/>
      <w:sz w:val="24"/>
      <w:lang w:bidi="ar-SA"/>
    </w:rPr>
  </w:style>
  <w:style w:type="character" w:customStyle="1" w:styleId="31">
    <w:name w:val="Heading 6 Char"/>
    <w:basedOn w:val="11"/>
    <w:link w:val="7"/>
    <w:semiHidden/>
    <w:uiPriority w:val="9"/>
    <w:rPr>
      <w:rFonts w:asciiTheme="majorHAnsi" w:hAnsiTheme="majorHAnsi" w:eastAsiaTheme="majorEastAsia" w:cstheme="majorBidi"/>
      <w:color w:val="1F4E79" w:themeColor="accent1" w:themeShade="80"/>
      <w:sz w:val="24"/>
      <w:lang w:bidi="ar-SA"/>
    </w:rPr>
  </w:style>
  <w:style w:type="character" w:customStyle="1" w:styleId="32">
    <w:name w:val="Heading 7 Char"/>
    <w:basedOn w:val="11"/>
    <w:link w:val="8"/>
    <w:semiHidden/>
    <w:qFormat/>
    <w:uiPriority w:val="9"/>
    <w:rPr>
      <w:rFonts w:asciiTheme="majorHAnsi" w:hAnsiTheme="majorHAnsi" w:eastAsiaTheme="majorEastAsia" w:cstheme="majorBidi"/>
      <w:i/>
      <w:iCs/>
      <w:color w:val="1F4E79" w:themeColor="accent1" w:themeShade="80"/>
      <w:sz w:val="24"/>
      <w:lang w:bidi="ar-SA"/>
    </w:rPr>
  </w:style>
  <w:style w:type="character" w:customStyle="1" w:styleId="33">
    <w:name w:val="Heading 8 Char"/>
    <w:basedOn w:val="11"/>
    <w:link w:val="9"/>
    <w:semiHidden/>
    <w:qFormat/>
    <w:uiPriority w:val="9"/>
    <w:rPr>
      <w:rFonts w:asciiTheme="majorHAnsi" w:hAnsiTheme="majorHAnsi" w:eastAsiaTheme="majorEastAsia" w:cstheme="majorBidi"/>
      <w:color w:val="262626" w:themeColor="text1" w:themeTint="D9"/>
      <w:sz w:val="21"/>
      <w:szCs w:val="21"/>
      <w:lang w:bidi="ar-SA"/>
      <w14:textFill>
        <w14:solidFill>
          <w14:schemeClr w14:val="tx1">
            <w14:lumMod w14:val="85000"/>
            <w14:lumOff w14:val="15000"/>
          </w14:schemeClr>
        </w14:solidFill>
      </w14:textFill>
    </w:rPr>
  </w:style>
  <w:style w:type="character" w:customStyle="1" w:styleId="34">
    <w:name w:val="Heading 9 Char"/>
    <w:basedOn w:val="11"/>
    <w:link w:val="10"/>
    <w:semiHidden/>
    <w:qFormat/>
    <w:uiPriority w:val="9"/>
    <w:rPr>
      <w:rFonts w:asciiTheme="majorHAnsi" w:hAnsiTheme="majorHAnsi" w:eastAsiaTheme="majorEastAsia" w:cstheme="majorBidi"/>
      <w:i/>
      <w:iCs/>
      <w:color w:val="262626" w:themeColor="text1" w:themeTint="D9"/>
      <w:sz w:val="21"/>
      <w:szCs w:val="21"/>
      <w:lang w:bidi="ar-SA"/>
      <w14:textFill>
        <w14:solidFill>
          <w14:schemeClr w14:val="tx1">
            <w14:lumMod w14:val="85000"/>
            <w14:lumOff w14:val="15000"/>
          </w14:schemeClr>
        </w14:solidFill>
      </w14:textFill>
    </w:rPr>
  </w:style>
  <w:style w:type="paragraph" w:customStyle="1" w:styleId="35">
    <w:name w:val="TOC Heading"/>
    <w:basedOn w:val="2"/>
    <w:next w:val="1"/>
    <w:unhideWhenUsed/>
    <w:qFormat/>
    <w:uiPriority w:val="39"/>
    <w:pPr>
      <w:outlineLvl w:val="9"/>
    </w:pPr>
    <w:rPr>
      <w:lang w:bidi="ar-SA"/>
    </w:rPr>
  </w:style>
  <w:style w:type="character" w:customStyle="1" w:styleId="36">
    <w:name w:val="Header Char"/>
    <w:basedOn w:val="11"/>
    <w:link w:val="17"/>
    <w:uiPriority w:val="99"/>
  </w:style>
  <w:style w:type="character" w:customStyle="1" w:styleId="37">
    <w:name w:val="Footer Char"/>
    <w:basedOn w:val="11"/>
    <w:link w:val="16"/>
    <w:qFormat/>
    <w:uiPriority w:val="99"/>
  </w:style>
  <w:style w:type="character" w:customStyle="1" w:styleId="38">
    <w:name w:val="surname"/>
    <w:basedOn w:val="11"/>
    <w:qFormat/>
    <w:uiPriority w:val="0"/>
  </w:style>
  <w:style w:type="character" w:customStyle="1" w:styleId="39">
    <w:name w:val="Balloon Text Char"/>
    <w:basedOn w:val="11"/>
    <w:link w:val="13"/>
    <w:semiHidden/>
    <w:uiPriority w:val="99"/>
    <w:rPr>
      <w:rFonts w:ascii="Tahoma" w:hAnsi="Tahoma" w:cs="Tahoma"/>
      <w:sz w:val="16"/>
      <w:szCs w:val="16"/>
    </w:rPr>
  </w:style>
  <w:style w:type="table" w:customStyle="1" w:styleId="40">
    <w:name w:val="Plain Table 31"/>
    <w:basedOn w:val="12"/>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1">
    <w:name w:val="Grid Table 5 Dark - Accent 51"/>
    <w:basedOn w:val="12"/>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2">
    <w:name w:val="Grid Table 4 - Accent 51"/>
    <w:basedOn w:val="12"/>
    <w:qFormat/>
    <w:uiPriority w:val="49"/>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43">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44">
    <w:name w:val="Unresolved Mention"/>
    <w:basedOn w:val="11"/>
    <w:semiHidden/>
    <w:unhideWhenUsed/>
    <w:qFormat/>
    <w:uiPriority w:val="99"/>
    <w:rPr>
      <w:color w:val="605E5C"/>
      <w:shd w:val="clear" w:color="auto" w:fill="E1DFDD"/>
    </w:rPr>
  </w:style>
  <w:style w:type="character" w:customStyle="1" w:styleId="45">
    <w:name w:val="fontstyle01"/>
    <w:basedOn w:val="11"/>
    <w:qFormat/>
    <w:uiPriority w:val="0"/>
    <w:rPr>
      <w:rFonts w:hint="default" w:ascii="TimesNewRomanPS-BoldMT" w:hAnsi="TimesNewRomanPS-BoldMT"/>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KKA\Desktop\Bank%20DATA%20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AKKA\Desktop\Bank%20DATA%20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AKKA\Desktop\Bank%20DATA%2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'1.1'!$E$47:$U$47</c:f>
              <c:strCache>
                <c:ptCount val="17"/>
                <c:pt idx="0">
                  <c:v>SDG 07</c:v>
                </c:pt>
                <c:pt idx="1">
                  <c:v>SDG 05</c:v>
                </c:pt>
                <c:pt idx="2">
                  <c:v>SDG 08</c:v>
                </c:pt>
                <c:pt idx="3">
                  <c:v>SDG 09</c:v>
                </c:pt>
                <c:pt idx="4">
                  <c:v>SDG 12</c:v>
                </c:pt>
                <c:pt idx="5">
                  <c:v>SDG 01</c:v>
                </c:pt>
                <c:pt idx="6">
                  <c:v>SDG 04</c:v>
                </c:pt>
                <c:pt idx="7">
                  <c:v>SDG 10</c:v>
                </c:pt>
                <c:pt idx="8">
                  <c:v>SDG 13</c:v>
                </c:pt>
                <c:pt idx="9">
                  <c:v>SDG 17</c:v>
                </c:pt>
                <c:pt idx="10">
                  <c:v>SDG 11</c:v>
                </c:pt>
                <c:pt idx="11">
                  <c:v>SDG 16</c:v>
                </c:pt>
                <c:pt idx="12">
                  <c:v>SDG 02</c:v>
                </c:pt>
                <c:pt idx="13">
                  <c:v>SDG 03</c:v>
                </c:pt>
                <c:pt idx="14">
                  <c:v>SDG 15</c:v>
                </c:pt>
                <c:pt idx="15">
                  <c:v>SDG 06</c:v>
                </c:pt>
                <c:pt idx="16">
                  <c:v>SDG 14</c:v>
                </c:pt>
              </c:strCache>
            </c:strRef>
          </c:cat>
          <c:val>
            <c:numRef>
              <c:f>'1.1'!$E$48:$U$48</c:f>
              <c:numCache>
                <c:formatCode>General</c:formatCode>
                <c:ptCount val="17"/>
                <c:pt idx="0">
                  <c:v>12</c:v>
                </c:pt>
                <c:pt idx="1">
                  <c:v>11</c:v>
                </c:pt>
                <c:pt idx="2">
                  <c:v>11</c:v>
                </c:pt>
                <c:pt idx="3">
                  <c:v>11</c:v>
                </c:pt>
                <c:pt idx="4">
                  <c:v>11</c:v>
                </c:pt>
                <c:pt idx="5">
                  <c:v>10</c:v>
                </c:pt>
                <c:pt idx="6">
                  <c:v>10</c:v>
                </c:pt>
                <c:pt idx="7">
                  <c:v>10</c:v>
                </c:pt>
                <c:pt idx="8">
                  <c:v>9</c:v>
                </c:pt>
                <c:pt idx="9">
                  <c:v>9</c:v>
                </c:pt>
                <c:pt idx="10">
                  <c:v>8</c:v>
                </c:pt>
                <c:pt idx="11">
                  <c:v>8</c:v>
                </c:pt>
                <c:pt idx="12">
                  <c:v>7</c:v>
                </c:pt>
                <c:pt idx="13">
                  <c:v>7</c:v>
                </c:pt>
                <c:pt idx="14">
                  <c:v>7</c:v>
                </c:pt>
                <c:pt idx="15">
                  <c:v>5</c:v>
                </c:pt>
                <c:pt idx="16">
                  <c:v>4</c:v>
                </c:pt>
              </c:numCache>
            </c:numRef>
          </c:val>
        </c:ser>
        <c:dLbls>
          <c:showLegendKey val="0"/>
          <c:showVal val="0"/>
          <c:showCatName val="0"/>
          <c:showSerName val="0"/>
          <c:showPercent val="0"/>
          <c:showBubbleSize val="0"/>
        </c:dLbls>
        <c:gapWidth val="219"/>
        <c:overlap val="-27"/>
        <c:axId val="239896832"/>
        <c:axId val="239898624"/>
      </c:barChart>
      <c:catAx>
        <c:axId val="23989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9898624"/>
        <c:crosses val="autoZero"/>
        <c:auto val="1"/>
        <c:lblAlgn val="ctr"/>
        <c:lblOffset val="100"/>
        <c:noMultiLvlLbl val="0"/>
      </c:catAx>
      <c:valAx>
        <c:axId val="239898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989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GB"/>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'2.3'!$AB$27</c:f>
              <c:strCache>
                <c:ptCount val="1"/>
                <c:pt idx="0">
                  <c:v>Number of banks</c:v>
                </c:pt>
              </c:strCache>
            </c:strRef>
          </c:tx>
          <c:spPr>
            <a:solidFill>
              <a:schemeClr val="accent1">
                <a:alpha val="70000"/>
              </a:schemeClr>
            </a:solidFill>
            <a:ln>
              <a:noFill/>
            </a:ln>
            <a:effectLst/>
          </c:spPr>
          <c:invertIfNegative val="0"/>
          <c:dLbls>
            <c:delete val="1"/>
          </c:dLbls>
          <c:cat>
            <c:strRef>
              <c:f>'2.3'!$AC$26:$AH$26</c:f>
              <c:strCache>
                <c:ptCount val="6"/>
                <c:pt idx="0">
                  <c:v>CEO letter</c:v>
                </c:pt>
                <c:pt idx="1">
                  <c:v>the materiality analysis</c:v>
                </c:pt>
                <c:pt idx="2">
                  <c:v>Business Value Creation Model</c:v>
                </c:pt>
                <c:pt idx="3">
                  <c:v>the strategic plan</c:v>
                </c:pt>
                <c:pt idx="4">
                  <c:v>stakeholder engagement</c:v>
                </c:pt>
                <c:pt idx="5">
                  <c:v>Global Reporting Initiatives index</c:v>
                </c:pt>
              </c:strCache>
            </c:strRef>
          </c:cat>
          <c:val>
            <c:numRef>
              <c:f>'2.3'!$AC$27:$AH$27</c:f>
              <c:numCache>
                <c:formatCode>General</c:formatCode>
                <c:ptCount val="6"/>
                <c:pt idx="0">
                  <c:v>11</c:v>
                </c:pt>
                <c:pt idx="1">
                  <c:v>9</c:v>
                </c:pt>
                <c:pt idx="2">
                  <c:v>12</c:v>
                </c:pt>
                <c:pt idx="3">
                  <c:v>12</c:v>
                </c:pt>
                <c:pt idx="4">
                  <c:v>11</c:v>
                </c:pt>
                <c:pt idx="5">
                  <c:v>8</c:v>
                </c:pt>
              </c:numCache>
            </c:numRef>
          </c:val>
        </c:ser>
        <c:dLbls>
          <c:showLegendKey val="0"/>
          <c:showVal val="0"/>
          <c:showCatName val="0"/>
          <c:showSerName val="0"/>
          <c:showPercent val="0"/>
          <c:showBubbleSize val="0"/>
        </c:dLbls>
        <c:gapWidth val="80"/>
        <c:overlap val="25"/>
        <c:axId val="239906176"/>
        <c:axId val="239924352"/>
      </c:barChart>
      <c:catAx>
        <c:axId val="2399061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GB" sz="900" b="0" i="0" u="none" strike="noStrike" kern="1200" cap="none" spc="20" normalizeH="0" baseline="0">
                <a:solidFill>
                  <a:schemeClr val="tx1">
                    <a:lumMod val="65000"/>
                    <a:lumOff val="35000"/>
                  </a:schemeClr>
                </a:solidFill>
                <a:latin typeface="+mn-lt"/>
                <a:ea typeface="+mn-ea"/>
                <a:cs typeface="+mn-cs"/>
              </a:defRPr>
            </a:pPr>
          </a:p>
        </c:txPr>
        <c:crossAx val="239924352"/>
        <c:crosses val="autoZero"/>
        <c:auto val="1"/>
        <c:lblAlgn val="ctr"/>
        <c:lblOffset val="100"/>
        <c:noMultiLvlLbl val="0"/>
      </c:catAx>
      <c:valAx>
        <c:axId val="239924352"/>
        <c:scaling>
          <c:orientation val="minMax"/>
        </c:scaling>
        <c:delete val="0"/>
        <c:axPos val="l"/>
        <c:majorGridlines>
          <c:spPr>
            <a:ln w="9525" cap="flat" cmpd="sng" algn="ctr">
              <a:solidFill>
                <a:schemeClr val="tx1">
                  <a:lumMod val="5000"/>
                  <a:lumOff val="9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spc="20" baseline="0">
                <a:solidFill>
                  <a:schemeClr val="tx1">
                    <a:lumMod val="65000"/>
                    <a:lumOff val="35000"/>
                  </a:schemeClr>
                </a:solidFill>
                <a:latin typeface="+mn-lt"/>
                <a:ea typeface="+mn-ea"/>
                <a:cs typeface="+mn-cs"/>
              </a:defRPr>
            </a:pPr>
          </a:p>
        </c:txPr>
        <c:crossAx val="2399061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en-GB"/>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'2.3'!$AI$27</c:f>
              <c:strCache>
                <c:ptCount val="1"/>
                <c:pt idx="0">
                  <c:v>Number of banks</c:v>
                </c:pt>
              </c:strCache>
            </c:strRef>
          </c:tx>
          <c:spPr>
            <a:solidFill>
              <a:schemeClr val="accent1">
                <a:alpha val="70000"/>
              </a:schemeClr>
            </a:solidFill>
            <a:ln>
              <a:noFill/>
            </a:ln>
            <a:effectLst/>
          </c:spPr>
          <c:invertIfNegative val="0"/>
          <c:dLbls>
            <c:delete val="1"/>
          </c:dLbls>
          <c:cat>
            <c:strRef>
              <c:f>'2.3'!$AJ$26:$AQ$26</c:f>
              <c:strCache>
                <c:ptCount val="8"/>
                <c:pt idx="0">
                  <c:v>Customers</c:v>
                </c:pt>
                <c:pt idx="1">
                  <c:v>suppliers</c:v>
                </c:pt>
                <c:pt idx="2">
                  <c:v>employees</c:v>
                </c:pt>
                <c:pt idx="3">
                  <c:v>lenders</c:v>
                </c:pt>
                <c:pt idx="4">
                  <c:v>shareholders</c:v>
                </c:pt>
                <c:pt idx="5">
                  <c:v>institutions</c:v>
                </c:pt>
                <c:pt idx="6">
                  <c:v>communities</c:v>
                </c:pt>
                <c:pt idx="7">
                  <c:v>environment </c:v>
                </c:pt>
              </c:strCache>
            </c:strRef>
          </c:cat>
          <c:val>
            <c:numRef>
              <c:f>'2.3'!$AJ$27:$AQ$27</c:f>
              <c:numCache>
                <c:formatCode>0</c:formatCode>
                <c:ptCount val="8"/>
                <c:pt idx="0">
                  <c:v>11</c:v>
                </c:pt>
                <c:pt idx="1">
                  <c:v>3</c:v>
                </c:pt>
                <c:pt idx="2">
                  <c:v>12</c:v>
                </c:pt>
                <c:pt idx="3">
                  <c:v>0</c:v>
                </c:pt>
                <c:pt idx="4">
                  <c:v>6</c:v>
                </c:pt>
                <c:pt idx="5">
                  <c:v>5</c:v>
                </c:pt>
                <c:pt idx="6">
                  <c:v>11</c:v>
                </c:pt>
                <c:pt idx="7">
                  <c:v>11</c:v>
                </c:pt>
              </c:numCache>
            </c:numRef>
          </c:val>
        </c:ser>
        <c:dLbls>
          <c:showLegendKey val="0"/>
          <c:showVal val="0"/>
          <c:showCatName val="0"/>
          <c:showSerName val="0"/>
          <c:showPercent val="0"/>
          <c:showBubbleSize val="0"/>
        </c:dLbls>
        <c:gapWidth val="80"/>
        <c:overlap val="25"/>
        <c:axId val="271729408"/>
        <c:axId val="271730944"/>
      </c:barChart>
      <c:catAx>
        <c:axId val="27172940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GB" sz="900" b="0" i="0" u="none" strike="noStrike" kern="1200" cap="none" spc="20" normalizeH="0" baseline="0">
                <a:solidFill>
                  <a:schemeClr val="tx1">
                    <a:lumMod val="65000"/>
                    <a:lumOff val="35000"/>
                  </a:schemeClr>
                </a:solidFill>
                <a:latin typeface="+mn-lt"/>
                <a:ea typeface="+mn-ea"/>
                <a:cs typeface="+mn-cs"/>
              </a:defRPr>
            </a:pPr>
          </a:p>
        </c:txPr>
        <c:crossAx val="271730944"/>
        <c:crosses val="autoZero"/>
        <c:auto val="1"/>
        <c:lblAlgn val="ctr"/>
        <c:lblOffset val="100"/>
        <c:noMultiLvlLbl val="0"/>
      </c:catAx>
      <c:valAx>
        <c:axId val="271730944"/>
        <c:scaling>
          <c:orientation val="minMax"/>
        </c:scaling>
        <c:delete val="0"/>
        <c:axPos val="l"/>
        <c:majorGridlines>
          <c:spPr>
            <a:ln w="9525" cap="flat" cmpd="sng" algn="ctr">
              <a:solidFill>
                <a:schemeClr val="tx1">
                  <a:lumMod val="5000"/>
                  <a:lumOff val="9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spc="20" baseline="0">
                <a:solidFill>
                  <a:schemeClr val="tx1">
                    <a:lumMod val="65000"/>
                    <a:lumOff val="35000"/>
                  </a:schemeClr>
                </a:solidFill>
                <a:latin typeface="+mn-lt"/>
                <a:ea typeface="+mn-ea"/>
                <a:cs typeface="+mn-cs"/>
              </a:defRPr>
            </a:pPr>
          </a:p>
        </c:txPr>
        <c:crossAx val="2717294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en-GB"/>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FD0C1-861D-4D1E-AB38-7AC99EA7BC40}">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Kelaniya</Company>
  <Pages>16</Pages>
  <Words>14743</Words>
  <Characters>84039</Characters>
  <Lines>700</Lines>
  <Paragraphs>197</Paragraphs>
  <TotalTime>0</TotalTime>
  <ScaleCrop>false</ScaleCrop>
  <LinksUpToDate>false</LinksUpToDate>
  <CharactersWithSpaces>98585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2023-10-17T03:28:00Z</dcterms:created>
  <dc:creator>Dushyantha Lakshitha</dc:creator>
  <cp:lastModifiedBy>Subhashini Weerakkody - Univer</cp:lastModifiedBy>
  <cp:lastPrinted>2023-10-17T03:27:00Z</cp:lastPrinted>
  <dcterms:modified xsi:type="dcterms:W3CDTF">2024-03-19T12:17:10Z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9b477666-076c-3025-9d65-6cc752654a1a</vt:lpwstr>
  </property>
  <property fmtid="{D5CDD505-2E9C-101B-9397-08002B2CF9AE}" pid="24" name="Mendeley Citation Style_1">
    <vt:lpwstr>http://www.zotero.org/styles/apa</vt:lpwstr>
  </property>
  <property fmtid="{D5CDD505-2E9C-101B-9397-08002B2CF9AE}" pid="25" name="GrammarlyDocumentId">
    <vt:lpwstr>746045f8755c1243640c6d8ae945271cacd2a8cc69fc954f1f17e7f2593884ee</vt:lpwstr>
  </property>
  <property fmtid="{D5CDD505-2E9C-101B-9397-08002B2CF9AE}" pid="26" name="KSOProductBuildVer">
    <vt:lpwstr>2057-12.2.0.13489</vt:lpwstr>
  </property>
  <property fmtid="{D5CDD505-2E9C-101B-9397-08002B2CF9AE}" pid="27" name="ICV">
    <vt:lpwstr>102B6DA20814451F8C7C694E0E2328EC_12</vt:lpwstr>
  </property>
</Properties>
</file>