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09" w:rsidRPr="00E15C09" w:rsidRDefault="00E15C09" w:rsidP="00E15C09">
      <w:pPr>
        <w:shd w:val="clear" w:color="auto" w:fill="FFFFFF"/>
        <w:spacing w:after="0" w:line="240" w:lineRule="auto"/>
        <w:rPr>
          <w:rFonts w:ascii="Arial" w:eastAsia="Times New Roman" w:hAnsi="Arial" w:cs="Arial"/>
          <w:b/>
          <w:color w:val="333333"/>
          <w:sz w:val="24"/>
          <w:szCs w:val="24"/>
        </w:rPr>
      </w:pPr>
      <w:proofErr w:type="spellStart"/>
      <w:r w:rsidRPr="00E15C09">
        <w:rPr>
          <w:rFonts w:ascii="Arial" w:eastAsia="Times New Roman" w:hAnsi="Arial" w:cs="Arial"/>
          <w:b/>
          <w:color w:val="333333"/>
          <w:sz w:val="24"/>
          <w:szCs w:val="24"/>
        </w:rPr>
        <w:t>Neurogastroenterology</w:t>
      </w:r>
      <w:proofErr w:type="spellEnd"/>
      <w:r w:rsidRPr="00E15C09">
        <w:rPr>
          <w:rFonts w:ascii="Arial" w:eastAsia="Times New Roman" w:hAnsi="Arial" w:cs="Arial"/>
          <w:b/>
          <w:color w:val="333333"/>
          <w:sz w:val="24"/>
          <w:szCs w:val="24"/>
        </w:rPr>
        <w:t>/motility posters</w:t>
      </w:r>
    </w:p>
    <w:p w:rsidR="00E15C09" w:rsidRPr="00E15C09" w:rsidRDefault="00E15C09" w:rsidP="00E15C09">
      <w:pPr>
        <w:shd w:val="clear" w:color="auto" w:fill="FFFFFF"/>
        <w:spacing w:after="0" w:line="240" w:lineRule="auto"/>
        <w:rPr>
          <w:rFonts w:ascii="Arial" w:eastAsia="Times New Roman" w:hAnsi="Arial" w:cs="Arial"/>
          <w:color w:val="333333"/>
          <w:sz w:val="24"/>
          <w:szCs w:val="24"/>
        </w:rPr>
      </w:pPr>
    </w:p>
    <w:p w:rsidR="00E15C09" w:rsidRPr="00E15C09" w:rsidRDefault="00E15C09" w:rsidP="00E15C09">
      <w:pPr>
        <w:shd w:val="clear" w:color="auto" w:fill="FFFFFF"/>
        <w:spacing w:after="0" w:line="240" w:lineRule="auto"/>
        <w:rPr>
          <w:rFonts w:ascii="Times New Roman" w:eastAsia="Times New Roman" w:hAnsi="Times New Roman" w:cs="Times New Roman"/>
          <w:b/>
          <w:color w:val="333333"/>
          <w:sz w:val="24"/>
          <w:szCs w:val="24"/>
        </w:rPr>
      </w:pPr>
      <w:r w:rsidRPr="00E15C09">
        <w:rPr>
          <w:rFonts w:ascii="Times New Roman" w:eastAsia="Times New Roman" w:hAnsi="Times New Roman" w:cs="Times New Roman"/>
          <w:b/>
          <w:color w:val="333333"/>
          <w:sz w:val="24"/>
          <w:szCs w:val="24"/>
        </w:rPr>
        <w:t xml:space="preserve">PTH-035 Assessment of gastric emptying and </w:t>
      </w:r>
      <w:proofErr w:type="spellStart"/>
      <w:r w:rsidRPr="00E15C09">
        <w:rPr>
          <w:rFonts w:ascii="Times New Roman" w:eastAsia="Times New Roman" w:hAnsi="Times New Roman" w:cs="Times New Roman"/>
          <w:b/>
          <w:color w:val="333333"/>
          <w:sz w:val="24"/>
          <w:szCs w:val="24"/>
        </w:rPr>
        <w:t>antral</w:t>
      </w:r>
      <w:proofErr w:type="spellEnd"/>
      <w:r w:rsidRPr="00E15C09">
        <w:rPr>
          <w:rFonts w:ascii="Times New Roman" w:eastAsia="Times New Roman" w:hAnsi="Times New Roman" w:cs="Times New Roman"/>
          <w:b/>
          <w:color w:val="333333"/>
          <w:sz w:val="24"/>
          <w:szCs w:val="24"/>
        </w:rPr>
        <w:t xml:space="preserve"> motility in different types of abdominal pain related functional gastrointestinal diseases: a </w:t>
      </w:r>
      <w:proofErr w:type="spellStart"/>
      <w:r w:rsidRPr="00E15C09">
        <w:rPr>
          <w:rFonts w:ascii="Times New Roman" w:eastAsia="Times New Roman" w:hAnsi="Times New Roman" w:cs="Times New Roman"/>
          <w:b/>
          <w:color w:val="333333"/>
          <w:sz w:val="24"/>
          <w:szCs w:val="24"/>
        </w:rPr>
        <w:t>paediatric</w:t>
      </w:r>
      <w:proofErr w:type="spellEnd"/>
      <w:r w:rsidRPr="00E15C09">
        <w:rPr>
          <w:rFonts w:ascii="Times New Roman" w:eastAsia="Times New Roman" w:hAnsi="Times New Roman" w:cs="Times New Roman"/>
          <w:b/>
          <w:color w:val="333333"/>
          <w:sz w:val="24"/>
          <w:szCs w:val="24"/>
        </w:rPr>
        <w:t xml:space="preserve"> study</w:t>
      </w:r>
    </w:p>
    <w:p w:rsidR="00E15C09" w:rsidRPr="00E15C09" w:rsidRDefault="00E15C09" w:rsidP="00E15C09">
      <w:pPr>
        <w:shd w:val="clear" w:color="auto" w:fill="FFFFFF"/>
        <w:spacing w:after="0" w:line="264" w:lineRule="atLeast"/>
        <w:rPr>
          <w:rFonts w:ascii="Times New Roman" w:eastAsia="Times New Roman" w:hAnsi="Times New Roman" w:cs="Times New Roman"/>
          <w:b/>
          <w:color w:val="333333"/>
          <w:sz w:val="20"/>
          <w:szCs w:val="20"/>
        </w:rPr>
      </w:pPr>
      <w:r w:rsidRPr="00E15C09">
        <w:rPr>
          <w:rFonts w:ascii="Times New Roman" w:eastAsia="Times New Roman" w:hAnsi="Times New Roman" w:cs="Times New Roman"/>
          <w:b/>
          <w:color w:val="2A6EBB"/>
          <w:sz w:val="20"/>
          <w:szCs w:val="20"/>
        </w:rPr>
        <w:t xml:space="preserve">N M </w:t>
      </w:r>
      <w:proofErr w:type="spellStart"/>
      <w:r w:rsidRPr="00E15C09">
        <w:rPr>
          <w:rFonts w:ascii="Times New Roman" w:eastAsia="Times New Roman" w:hAnsi="Times New Roman" w:cs="Times New Roman"/>
          <w:b/>
          <w:color w:val="2A6EBB"/>
          <w:sz w:val="20"/>
          <w:szCs w:val="20"/>
        </w:rPr>
        <w:t>Devanarayana</w:t>
      </w:r>
      <w:proofErr w:type="spellEnd"/>
      <w:r w:rsidRPr="00E15C09">
        <w:rPr>
          <w:rFonts w:ascii="Times New Roman" w:eastAsia="Times New Roman" w:hAnsi="Times New Roman" w:cs="Times New Roman"/>
          <w:b/>
          <w:color w:val="333333"/>
          <w:sz w:val="20"/>
          <w:szCs w:val="20"/>
        </w:rPr>
        <w:t>, </w:t>
      </w:r>
      <w:r w:rsidRPr="00E15C09">
        <w:rPr>
          <w:rFonts w:ascii="Times New Roman" w:eastAsia="Times New Roman" w:hAnsi="Times New Roman" w:cs="Times New Roman"/>
          <w:b/>
          <w:color w:val="2A6EBB"/>
          <w:sz w:val="20"/>
          <w:szCs w:val="20"/>
        </w:rPr>
        <w:t xml:space="preserve">S </w:t>
      </w:r>
      <w:proofErr w:type="spellStart"/>
      <w:r w:rsidRPr="00E15C09">
        <w:rPr>
          <w:rFonts w:ascii="Times New Roman" w:eastAsia="Times New Roman" w:hAnsi="Times New Roman" w:cs="Times New Roman"/>
          <w:b/>
          <w:color w:val="2A6EBB"/>
          <w:sz w:val="20"/>
          <w:szCs w:val="20"/>
        </w:rPr>
        <w:t>Rajindrajith</w:t>
      </w:r>
      <w:proofErr w:type="spellEnd"/>
    </w:p>
    <w:p w:rsidR="00E15C09" w:rsidRPr="00E15C09" w:rsidRDefault="00E15C09" w:rsidP="00E15C09">
      <w:pPr>
        <w:shd w:val="clear" w:color="auto" w:fill="FFFFFF"/>
        <w:spacing w:before="300" w:after="0" w:line="240" w:lineRule="auto"/>
        <w:outlineLvl w:val="1"/>
        <w:rPr>
          <w:rFonts w:ascii="Times New Roman" w:eastAsia="Times New Roman" w:hAnsi="Times New Roman" w:cs="Times New Roman"/>
          <w:b/>
          <w:color w:val="333333"/>
          <w:sz w:val="24"/>
          <w:szCs w:val="24"/>
        </w:rPr>
      </w:pPr>
      <w:r w:rsidRPr="00E15C09">
        <w:rPr>
          <w:rFonts w:ascii="Times New Roman" w:eastAsia="Times New Roman" w:hAnsi="Times New Roman" w:cs="Times New Roman"/>
          <w:b/>
          <w:color w:val="333333"/>
          <w:sz w:val="24"/>
          <w:szCs w:val="24"/>
        </w:rPr>
        <w:t>Abstract</w:t>
      </w:r>
    </w:p>
    <w:p w:rsidR="00E15C09" w:rsidRPr="00E15C09" w:rsidRDefault="00E15C09" w:rsidP="00E15C09">
      <w:pPr>
        <w:shd w:val="clear" w:color="auto" w:fill="FFFFFF"/>
        <w:spacing w:after="150" w:line="240" w:lineRule="auto"/>
        <w:jc w:val="both"/>
        <w:rPr>
          <w:rFonts w:ascii="Times New Roman" w:eastAsia="Times New Roman" w:hAnsi="Times New Roman" w:cs="Times New Roman"/>
          <w:color w:val="333333"/>
          <w:sz w:val="20"/>
          <w:szCs w:val="20"/>
        </w:rPr>
      </w:pPr>
      <w:r w:rsidRPr="00E15C09">
        <w:rPr>
          <w:rFonts w:ascii="Times New Roman" w:eastAsia="Times New Roman" w:hAnsi="Times New Roman" w:cs="Times New Roman"/>
          <w:b/>
          <w:bCs/>
          <w:color w:val="333333"/>
          <w:sz w:val="20"/>
          <w:szCs w:val="20"/>
        </w:rPr>
        <w:t>Introduction</w:t>
      </w:r>
      <w:r w:rsidRPr="00E15C09">
        <w:rPr>
          <w:rFonts w:ascii="Times New Roman" w:eastAsia="Times New Roman" w:hAnsi="Times New Roman" w:cs="Times New Roman"/>
          <w:color w:val="333333"/>
          <w:sz w:val="20"/>
          <w:szCs w:val="20"/>
        </w:rPr>
        <w:t xml:space="preserve"> Functional gastrointestinal disorders (FGD) are common among </w:t>
      </w:r>
      <w:proofErr w:type="spellStart"/>
      <w:r w:rsidRPr="00E15C09">
        <w:rPr>
          <w:rFonts w:ascii="Times New Roman" w:eastAsia="Times New Roman" w:hAnsi="Times New Roman" w:cs="Times New Roman"/>
          <w:color w:val="333333"/>
          <w:sz w:val="20"/>
          <w:szCs w:val="20"/>
        </w:rPr>
        <w:t>paediatric</w:t>
      </w:r>
      <w:proofErr w:type="spellEnd"/>
      <w:r w:rsidRPr="00E15C09">
        <w:rPr>
          <w:rFonts w:ascii="Times New Roman" w:eastAsia="Times New Roman" w:hAnsi="Times New Roman" w:cs="Times New Roman"/>
          <w:color w:val="333333"/>
          <w:sz w:val="20"/>
          <w:szCs w:val="20"/>
        </w:rPr>
        <w:t xml:space="preserve"> population. Abdominal pain related FGD are the most common subgroup found, of which irritable bowel syndrome is the most common. The exact mechanism of pain remains unclear in FGD. Visceral hypersensitivity and altered gastrointestinal motility are considered possible causes for abdominal pain and discomfort found in these children.</w:t>
      </w:r>
    </w:p>
    <w:p w:rsidR="00E15C09" w:rsidRPr="00E15C09" w:rsidRDefault="00E15C09" w:rsidP="00E15C09">
      <w:pPr>
        <w:shd w:val="clear" w:color="auto" w:fill="FFFFFF"/>
        <w:spacing w:after="150" w:line="240" w:lineRule="auto"/>
        <w:jc w:val="both"/>
        <w:rPr>
          <w:rFonts w:ascii="Times New Roman" w:eastAsia="Times New Roman" w:hAnsi="Times New Roman" w:cs="Times New Roman"/>
          <w:color w:val="333333"/>
          <w:sz w:val="20"/>
          <w:szCs w:val="20"/>
        </w:rPr>
      </w:pPr>
      <w:r w:rsidRPr="00E15C09">
        <w:rPr>
          <w:rFonts w:ascii="Times New Roman" w:eastAsia="Times New Roman" w:hAnsi="Times New Roman" w:cs="Times New Roman"/>
          <w:b/>
          <w:bCs/>
          <w:color w:val="333333"/>
          <w:sz w:val="20"/>
          <w:szCs w:val="20"/>
        </w:rPr>
        <w:t>Methods</w:t>
      </w:r>
      <w:r w:rsidRPr="00E15C09">
        <w:rPr>
          <w:rFonts w:ascii="Times New Roman" w:eastAsia="Times New Roman" w:hAnsi="Times New Roman" w:cs="Times New Roman"/>
          <w:color w:val="333333"/>
          <w:sz w:val="20"/>
          <w:szCs w:val="20"/>
        </w:rPr>
        <w:t xml:space="preserve"> The main aim of this study was to evaluate the gastric emptying and </w:t>
      </w:r>
      <w:proofErr w:type="spellStart"/>
      <w:r w:rsidRPr="00E15C09">
        <w:rPr>
          <w:rFonts w:ascii="Times New Roman" w:eastAsia="Times New Roman" w:hAnsi="Times New Roman" w:cs="Times New Roman"/>
          <w:color w:val="333333"/>
          <w:sz w:val="20"/>
          <w:szCs w:val="20"/>
        </w:rPr>
        <w:t>antral</w:t>
      </w:r>
      <w:proofErr w:type="spellEnd"/>
      <w:r w:rsidRPr="00E15C09">
        <w:rPr>
          <w:rFonts w:ascii="Times New Roman" w:eastAsia="Times New Roman" w:hAnsi="Times New Roman" w:cs="Times New Roman"/>
          <w:color w:val="333333"/>
          <w:sz w:val="20"/>
          <w:szCs w:val="20"/>
        </w:rPr>
        <w:t xml:space="preserve"> motility in children and adolescents with abdominal pain related FGD.</w:t>
      </w:r>
    </w:p>
    <w:p w:rsidR="00E15C09" w:rsidRPr="00E15C09" w:rsidRDefault="00E15C09" w:rsidP="00E15C09">
      <w:pPr>
        <w:shd w:val="clear" w:color="auto" w:fill="FFFFFF"/>
        <w:spacing w:after="150" w:line="240" w:lineRule="auto"/>
        <w:jc w:val="both"/>
        <w:rPr>
          <w:rFonts w:ascii="Times New Roman" w:eastAsia="Times New Roman" w:hAnsi="Times New Roman" w:cs="Times New Roman"/>
          <w:color w:val="333333"/>
          <w:sz w:val="20"/>
          <w:szCs w:val="20"/>
        </w:rPr>
      </w:pPr>
      <w:r w:rsidRPr="00E15C09">
        <w:rPr>
          <w:rFonts w:ascii="Times New Roman" w:eastAsia="Times New Roman" w:hAnsi="Times New Roman" w:cs="Times New Roman"/>
          <w:color w:val="333333"/>
          <w:sz w:val="20"/>
          <w:szCs w:val="20"/>
        </w:rPr>
        <w:t xml:space="preserve">Hundred and fifty-five children referred to the Gastroenterology Research Laboratory who fulfilled Rome III criteria for abdominal pain related FGD (60 (38.5%) males, 4–14 years, mean 8.1 years, SD 2.6 years) and 20 healthy children without gastrointestinal symptoms (8 (40%) males, 4–15 years, mean 8.9 years, SD 2.7 years) were recruited. None had clinical or laboratory evidence of organic diseases. All subjects underwent </w:t>
      </w:r>
      <w:proofErr w:type="spellStart"/>
      <w:r w:rsidRPr="00E15C09">
        <w:rPr>
          <w:rFonts w:ascii="Times New Roman" w:eastAsia="Times New Roman" w:hAnsi="Times New Roman" w:cs="Times New Roman"/>
          <w:color w:val="333333"/>
          <w:sz w:val="20"/>
          <w:szCs w:val="20"/>
        </w:rPr>
        <w:t>ultrasonographic</w:t>
      </w:r>
      <w:proofErr w:type="spellEnd"/>
      <w:r w:rsidRPr="00E15C09">
        <w:rPr>
          <w:rFonts w:ascii="Times New Roman" w:eastAsia="Times New Roman" w:hAnsi="Times New Roman" w:cs="Times New Roman"/>
          <w:color w:val="333333"/>
          <w:sz w:val="20"/>
          <w:szCs w:val="20"/>
        </w:rPr>
        <w:t xml:space="preserve"> assessment of liquid gastric emptying rate (GE) and </w:t>
      </w:r>
      <w:proofErr w:type="spellStart"/>
      <w:r w:rsidRPr="00E15C09">
        <w:rPr>
          <w:rFonts w:ascii="Times New Roman" w:eastAsia="Times New Roman" w:hAnsi="Times New Roman" w:cs="Times New Roman"/>
          <w:color w:val="333333"/>
          <w:sz w:val="20"/>
          <w:szCs w:val="20"/>
        </w:rPr>
        <w:t>antral</w:t>
      </w:r>
      <w:proofErr w:type="spellEnd"/>
      <w:r w:rsidRPr="00E15C09">
        <w:rPr>
          <w:rFonts w:ascii="Times New Roman" w:eastAsia="Times New Roman" w:hAnsi="Times New Roman" w:cs="Times New Roman"/>
          <w:color w:val="333333"/>
          <w:sz w:val="20"/>
          <w:szCs w:val="20"/>
        </w:rPr>
        <w:t xml:space="preserve"> motility, using a previously reported method.</w:t>
      </w:r>
    </w:p>
    <w:p w:rsidR="00E15C09" w:rsidRPr="00E15C09" w:rsidRDefault="00E15C09" w:rsidP="00E15C09">
      <w:pPr>
        <w:shd w:val="clear" w:color="auto" w:fill="FFFFFF"/>
        <w:spacing w:after="150" w:line="240" w:lineRule="auto"/>
        <w:jc w:val="both"/>
        <w:rPr>
          <w:rFonts w:ascii="Times New Roman" w:eastAsia="Times New Roman" w:hAnsi="Times New Roman" w:cs="Times New Roman"/>
          <w:color w:val="333333"/>
          <w:sz w:val="20"/>
          <w:szCs w:val="20"/>
        </w:rPr>
      </w:pPr>
      <w:r w:rsidRPr="00E15C09">
        <w:rPr>
          <w:rFonts w:ascii="Times New Roman" w:eastAsia="Times New Roman" w:hAnsi="Times New Roman" w:cs="Times New Roman"/>
          <w:b/>
          <w:bCs/>
          <w:color w:val="333333"/>
          <w:sz w:val="20"/>
          <w:szCs w:val="20"/>
        </w:rPr>
        <w:t>Results</w:t>
      </w:r>
      <w:r w:rsidRPr="00E15C09">
        <w:rPr>
          <w:rFonts w:ascii="Times New Roman" w:eastAsia="Times New Roman" w:hAnsi="Times New Roman" w:cs="Times New Roman"/>
          <w:color w:val="333333"/>
          <w:sz w:val="20"/>
          <w:szCs w:val="20"/>
        </w:rPr>
        <w:t> Gastric motility parameters of children with FGD and controls are presented in the table. GE negatively correlated with the scores obtained for severity of symptoms in functional dyspepsia (FD) (r=−0.67, p&lt;0.001) and functional abdominal pain (FAP) (r=−0.38, p&lt;0.001), but not in irritable bowel syndrome (IBS) (r=−0.16, p=0.29) (</w:t>
      </w:r>
      <w:hyperlink r:id="rId5" w:anchor="T1" w:history="1">
        <w:r w:rsidRPr="00E15C09">
          <w:rPr>
            <w:rFonts w:ascii="Times New Roman" w:eastAsia="Times New Roman" w:hAnsi="Times New Roman" w:cs="Times New Roman"/>
            <w:color w:val="2A6EBB"/>
            <w:sz w:val="20"/>
            <w:szCs w:val="20"/>
            <w:u w:val="single"/>
          </w:rPr>
          <w:t>Abstract 035</w:t>
        </w:r>
      </w:hyperlink>
      <w:r w:rsidRPr="00E15C09">
        <w:rPr>
          <w:rFonts w:ascii="Times New Roman" w:eastAsia="Times New Roman" w:hAnsi="Times New Roman" w:cs="Times New Roman"/>
          <w:color w:val="333333"/>
          <w:sz w:val="20"/>
          <w:szCs w:val="20"/>
        </w:rPr>
        <w:t>).</w:t>
      </w:r>
    </w:p>
    <w:p w:rsidR="00E15C09" w:rsidRPr="00E15C09" w:rsidRDefault="00E15C09" w:rsidP="00E15C09">
      <w:pPr>
        <w:shd w:val="clear" w:color="auto" w:fill="FFFFFF"/>
        <w:spacing w:line="336" w:lineRule="atLeast"/>
        <w:rPr>
          <w:rFonts w:ascii="Arial" w:eastAsia="Times New Roman" w:hAnsi="Arial" w:cs="Arial"/>
          <w:b/>
          <w:bCs/>
          <w:color w:val="333333"/>
          <w:sz w:val="24"/>
          <w:szCs w:val="24"/>
        </w:rPr>
      </w:pPr>
      <w:r w:rsidRPr="00E15C09">
        <w:rPr>
          <w:rFonts w:ascii="Arial" w:eastAsia="Times New Roman" w:hAnsi="Arial" w:cs="Arial"/>
          <w:b/>
          <w:bCs/>
          <w:color w:val="333333"/>
          <w:sz w:val="24"/>
          <w:szCs w:val="24"/>
        </w:rPr>
        <w:t>Gastric motility parameters in children with FGD compared to controls</w:t>
      </w:r>
    </w:p>
    <w:tbl>
      <w:tblPr>
        <w:tblW w:w="0" w:type="auto"/>
        <w:tblCellMar>
          <w:top w:w="15" w:type="dxa"/>
          <w:left w:w="15" w:type="dxa"/>
          <w:bottom w:w="15" w:type="dxa"/>
          <w:right w:w="15" w:type="dxa"/>
        </w:tblCellMar>
        <w:tblLook w:val="04A0"/>
      </w:tblPr>
      <w:tblGrid>
        <w:gridCol w:w="1350"/>
        <w:gridCol w:w="2297"/>
        <w:gridCol w:w="2055"/>
        <w:gridCol w:w="2230"/>
        <w:gridCol w:w="1677"/>
      </w:tblGrid>
      <w:tr w:rsidR="00E15C09" w:rsidRPr="00E15C09" w:rsidTr="00E15C09">
        <w:trPr>
          <w:tblHeader/>
        </w:trPr>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b/>
                <w:bCs/>
                <w:sz w:val="20"/>
                <w:szCs w:val="20"/>
              </w:rPr>
            </w:pPr>
            <w:r w:rsidRPr="00E15C09">
              <w:rPr>
                <w:rFonts w:ascii="Times New Roman" w:eastAsia="Times New Roman" w:hAnsi="Times New Roman" w:cs="Times New Roman"/>
                <w:b/>
                <w:bCs/>
                <w:sz w:val="20"/>
                <w:szCs w:val="20"/>
              </w:rPr>
              <w:t>FGD type</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b/>
                <w:bCs/>
                <w:sz w:val="20"/>
                <w:szCs w:val="20"/>
              </w:rPr>
            </w:pPr>
            <w:r w:rsidRPr="00E15C09">
              <w:rPr>
                <w:rFonts w:ascii="Times New Roman" w:eastAsia="Times New Roman" w:hAnsi="Times New Roman" w:cs="Times New Roman"/>
                <w:b/>
                <w:bCs/>
                <w:sz w:val="20"/>
                <w:szCs w:val="20"/>
              </w:rPr>
              <w:t>Gastric emptying (%) mean (SD)</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b/>
                <w:bCs/>
                <w:sz w:val="20"/>
                <w:szCs w:val="20"/>
              </w:rPr>
            </w:pPr>
            <w:r w:rsidRPr="00E15C09">
              <w:rPr>
                <w:rFonts w:ascii="Times New Roman" w:eastAsia="Times New Roman" w:hAnsi="Times New Roman" w:cs="Times New Roman"/>
                <w:b/>
                <w:bCs/>
                <w:sz w:val="20"/>
                <w:szCs w:val="20"/>
              </w:rPr>
              <w:t>Amplitude (%) mean (SD)</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b/>
                <w:bCs/>
                <w:sz w:val="20"/>
                <w:szCs w:val="20"/>
              </w:rPr>
            </w:pPr>
            <w:r w:rsidRPr="00E15C09">
              <w:rPr>
                <w:rFonts w:ascii="Times New Roman" w:eastAsia="Times New Roman" w:hAnsi="Times New Roman" w:cs="Times New Roman"/>
                <w:b/>
                <w:bCs/>
                <w:sz w:val="20"/>
                <w:szCs w:val="20"/>
              </w:rPr>
              <w:t>Frequency (/3 min) mean (SD)</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hideMark/>
          </w:tcPr>
          <w:p w:rsidR="00E15C09" w:rsidRPr="00E15C09" w:rsidRDefault="00E15C09" w:rsidP="00E15C09">
            <w:pPr>
              <w:spacing w:after="0" w:line="240" w:lineRule="auto"/>
              <w:rPr>
                <w:rFonts w:ascii="Times New Roman" w:eastAsia="Times New Roman" w:hAnsi="Times New Roman" w:cs="Times New Roman"/>
                <w:b/>
                <w:bCs/>
                <w:sz w:val="20"/>
                <w:szCs w:val="20"/>
              </w:rPr>
            </w:pPr>
            <w:r w:rsidRPr="00E15C09">
              <w:rPr>
                <w:rFonts w:ascii="Times New Roman" w:eastAsia="Times New Roman" w:hAnsi="Times New Roman" w:cs="Times New Roman"/>
                <w:b/>
                <w:bCs/>
                <w:sz w:val="20"/>
                <w:szCs w:val="20"/>
              </w:rPr>
              <w:t>Motility index mean (SD)</w:t>
            </w:r>
          </w:p>
        </w:tc>
      </w:tr>
      <w:tr w:rsidR="00E15C09" w:rsidRPr="00E15C09" w:rsidTr="00E15C09">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IBS – Total (n=47)</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41.3 (12.4)</w:t>
            </w:r>
            <w:hyperlink r:id="rId6"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58.6 (15.7)</w:t>
            </w:r>
            <w:hyperlink r:id="rId7"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9.0 (1.1)</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5.3 (1.7)</w:t>
            </w:r>
            <w:hyperlink r:id="rId8" w:anchor="fn-1" w:history="1">
              <w:r w:rsidRPr="00E15C09">
                <w:rPr>
                  <w:rFonts w:ascii="Times New Roman" w:eastAsia="Times New Roman" w:hAnsi="Times New Roman" w:cs="Times New Roman"/>
                  <w:color w:val="2A6EBB"/>
                  <w:sz w:val="20"/>
                  <w:szCs w:val="20"/>
                  <w:u w:val="single"/>
                  <w:vertAlign w:val="superscript"/>
                </w:rPr>
                <w:t>*</w:t>
              </w:r>
            </w:hyperlink>
          </w:p>
        </w:tc>
      </w:tr>
      <w:tr w:rsidR="00E15C09" w:rsidRPr="00E15C09" w:rsidTr="00E15C09">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IBS-D (n=15)</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41.8 (11.2)</w:t>
            </w:r>
            <w:hyperlink r:id="rId9"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58.6 (9.6)</w:t>
            </w:r>
            <w:hyperlink r:id="rId10"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9.0 (1.0)</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5.3 (1.1)</w:t>
            </w:r>
            <w:hyperlink r:id="rId11" w:anchor="fn-1" w:history="1">
              <w:r w:rsidRPr="00E15C09">
                <w:rPr>
                  <w:rFonts w:ascii="Times New Roman" w:eastAsia="Times New Roman" w:hAnsi="Times New Roman" w:cs="Times New Roman"/>
                  <w:color w:val="2A6EBB"/>
                  <w:sz w:val="20"/>
                  <w:szCs w:val="20"/>
                  <w:u w:val="single"/>
                  <w:vertAlign w:val="superscript"/>
                </w:rPr>
                <w:t>*</w:t>
              </w:r>
            </w:hyperlink>
          </w:p>
        </w:tc>
      </w:tr>
      <w:tr w:rsidR="00E15C09" w:rsidRPr="00E15C09" w:rsidTr="00E15C09">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IBS-C (n=17)</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45.7 (10.5)</w:t>
            </w:r>
            <w:hyperlink r:id="rId12"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58.7 (19.7)</w:t>
            </w:r>
            <w:hyperlink r:id="rId13"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8.7 (1.0)</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5.1 (1.8)</w:t>
            </w:r>
            <w:hyperlink r:id="rId14" w:anchor="fn-1" w:history="1">
              <w:r w:rsidRPr="00E15C09">
                <w:rPr>
                  <w:rFonts w:ascii="Times New Roman" w:eastAsia="Times New Roman" w:hAnsi="Times New Roman" w:cs="Times New Roman"/>
                  <w:color w:val="2A6EBB"/>
                  <w:sz w:val="20"/>
                  <w:szCs w:val="20"/>
                  <w:u w:val="single"/>
                  <w:vertAlign w:val="superscript"/>
                </w:rPr>
                <w:t>*</w:t>
              </w:r>
            </w:hyperlink>
          </w:p>
        </w:tc>
      </w:tr>
      <w:tr w:rsidR="00E15C09" w:rsidRPr="00E15C09" w:rsidTr="00E15C09">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IBS-M (n=15)</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39.8 (14.0)</w:t>
            </w:r>
            <w:hyperlink r:id="rId15"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58.6 (16.5)</w:t>
            </w:r>
            <w:hyperlink r:id="rId16"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9.4 (1.4)</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5.6 (2.1)</w:t>
            </w:r>
            <w:hyperlink r:id="rId17" w:anchor="fn-1" w:history="1">
              <w:r w:rsidRPr="00E15C09">
                <w:rPr>
                  <w:rFonts w:ascii="Times New Roman" w:eastAsia="Times New Roman" w:hAnsi="Times New Roman" w:cs="Times New Roman"/>
                  <w:color w:val="2A6EBB"/>
                  <w:sz w:val="20"/>
                  <w:szCs w:val="20"/>
                  <w:u w:val="single"/>
                  <w:vertAlign w:val="superscript"/>
                </w:rPr>
                <w:t>*</w:t>
              </w:r>
            </w:hyperlink>
          </w:p>
        </w:tc>
      </w:tr>
      <w:tr w:rsidR="00E15C09" w:rsidRPr="00E15C09" w:rsidTr="00E15C09">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FD (n=22)</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44.8 (20.1)</w:t>
            </w:r>
            <w:hyperlink r:id="rId18"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65.1 (21.6)</w:t>
            </w:r>
            <w:hyperlink r:id="rId19"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9.0 (1.2)</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5.8 (1.9)</w:t>
            </w:r>
            <w:hyperlink r:id="rId20" w:anchor="fn-1" w:history="1">
              <w:r w:rsidRPr="00E15C09">
                <w:rPr>
                  <w:rFonts w:ascii="Times New Roman" w:eastAsia="Times New Roman" w:hAnsi="Times New Roman" w:cs="Times New Roman"/>
                  <w:color w:val="2A6EBB"/>
                  <w:sz w:val="20"/>
                  <w:szCs w:val="20"/>
                  <w:u w:val="single"/>
                  <w:vertAlign w:val="superscript"/>
                </w:rPr>
                <w:t>*</w:t>
              </w:r>
            </w:hyperlink>
          </w:p>
        </w:tc>
      </w:tr>
      <w:tr w:rsidR="00E15C09" w:rsidRPr="00E15C09" w:rsidTr="00E15C09">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AM (n=7)</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42.4 (16.8)</w:t>
            </w:r>
            <w:hyperlink r:id="rId21"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68.1 (18.2)</w:t>
            </w:r>
            <w:hyperlink r:id="rId22"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8.8 (0.9)</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6.1 (1.5)</w:t>
            </w:r>
            <w:hyperlink r:id="rId23" w:anchor="fn-1" w:history="1">
              <w:r w:rsidRPr="00E15C09">
                <w:rPr>
                  <w:rFonts w:ascii="Times New Roman" w:eastAsia="Times New Roman" w:hAnsi="Times New Roman" w:cs="Times New Roman"/>
                  <w:color w:val="2A6EBB"/>
                  <w:sz w:val="20"/>
                  <w:szCs w:val="20"/>
                  <w:u w:val="single"/>
                  <w:vertAlign w:val="superscript"/>
                </w:rPr>
                <w:t>*</w:t>
              </w:r>
            </w:hyperlink>
          </w:p>
        </w:tc>
      </w:tr>
      <w:tr w:rsidR="00E15C09" w:rsidRPr="00E15C09" w:rsidTr="00E15C09">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FAP (n=79)</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41.4 (18. 4)</w:t>
            </w:r>
            <w:hyperlink r:id="rId24"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58.9 (17.4)</w:t>
            </w:r>
            <w:hyperlink r:id="rId25"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8.5 (1.2)</w:t>
            </w:r>
            <w:hyperlink r:id="rId26" w:anchor="fn-1" w:history="1">
              <w:r w:rsidRPr="00E15C09">
                <w:rPr>
                  <w:rFonts w:ascii="Times New Roman" w:eastAsia="Times New Roman" w:hAnsi="Times New Roman" w:cs="Times New Roman"/>
                  <w:color w:val="2A6EBB"/>
                  <w:sz w:val="20"/>
                  <w:szCs w:val="20"/>
                  <w:u w:val="single"/>
                  <w:vertAlign w:val="superscript"/>
                </w:rPr>
                <w:t>*</w:t>
              </w:r>
            </w:hyperlink>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5.1 (1.8)</w:t>
            </w:r>
            <w:hyperlink r:id="rId27" w:anchor="fn-1" w:history="1">
              <w:r w:rsidRPr="00E15C09">
                <w:rPr>
                  <w:rFonts w:ascii="Times New Roman" w:eastAsia="Times New Roman" w:hAnsi="Times New Roman" w:cs="Times New Roman"/>
                  <w:color w:val="2A6EBB"/>
                  <w:sz w:val="20"/>
                  <w:szCs w:val="20"/>
                  <w:u w:val="single"/>
                  <w:vertAlign w:val="superscript"/>
                </w:rPr>
                <w:t>*</w:t>
              </w:r>
            </w:hyperlink>
          </w:p>
        </w:tc>
      </w:tr>
      <w:tr w:rsidR="00E15C09" w:rsidRPr="00E15C09" w:rsidTr="00E15C09">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hideMark/>
          </w:tcPr>
          <w:p w:rsidR="00E15C09" w:rsidRPr="00E15C09" w:rsidRDefault="00E15C09" w:rsidP="00E15C09">
            <w:pPr>
              <w:spacing w:after="0" w:line="240" w:lineRule="auto"/>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Controls (n=20)</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66.2 (16.5)</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89 (10.1)</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9.3 (0.8)</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hideMark/>
          </w:tcPr>
          <w:p w:rsidR="00E15C09" w:rsidRPr="00E15C09" w:rsidRDefault="00E15C09" w:rsidP="00E15C09">
            <w:pPr>
              <w:spacing w:after="0" w:line="240" w:lineRule="auto"/>
              <w:jc w:val="center"/>
              <w:rPr>
                <w:rFonts w:ascii="Times New Roman" w:eastAsia="Times New Roman" w:hAnsi="Times New Roman" w:cs="Times New Roman"/>
                <w:sz w:val="20"/>
                <w:szCs w:val="20"/>
              </w:rPr>
            </w:pPr>
            <w:r w:rsidRPr="00E15C09">
              <w:rPr>
                <w:rFonts w:ascii="Times New Roman" w:eastAsia="Times New Roman" w:hAnsi="Times New Roman" w:cs="Times New Roman"/>
                <w:sz w:val="20"/>
                <w:szCs w:val="20"/>
              </w:rPr>
              <w:t>8.3 (1.3)</w:t>
            </w:r>
          </w:p>
        </w:tc>
      </w:tr>
    </w:tbl>
    <w:p w:rsidR="00E15C09" w:rsidRPr="00E15C09" w:rsidRDefault="000B2252" w:rsidP="00E15C09">
      <w:pPr>
        <w:numPr>
          <w:ilvl w:val="0"/>
          <w:numId w:val="3"/>
        </w:numPr>
        <w:shd w:val="clear" w:color="auto" w:fill="FFFFFF"/>
        <w:spacing w:after="150" w:line="336" w:lineRule="atLeast"/>
        <w:rPr>
          <w:rFonts w:ascii="Times New Roman" w:eastAsia="Times New Roman" w:hAnsi="Times New Roman" w:cs="Times New Roman"/>
          <w:b/>
          <w:bCs/>
          <w:color w:val="333333"/>
          <w:sz w:val="20"/>
          <w:szCs w:val="20"/>
        </w:rPr>
      </w:pPr>
      <w:hyperlink r:id="rId28" w:anchor="xref-fn-1-1" w:history="1">
        <w:r w:rsidR="00E15C09" w:rsidRPr="00E15C09">
          <w:rPr>
            <w:rFonts w:ascii="Cambria Math" w:eastAsia="Times New Roman" w:hAnsi="Cambria Math" w:cs="Times New Roman"/>
            <w:color w:val="2A6EBB"/>
            <w:sz w:val="20"/>
            <w:szCs w:val="20"/>
            <w:u w:val="single"/>
          </w:rPr>
          <w:t>↵</w:t>
        </w:r>
      </w:hyperlink>
      <w:r w:rsidR="00E15C09" w:rsidRPr="00E15C09">
        <w:rPr>
          <w:rFonts w:ascii="Times New Roman" w:eastAsia="Times New Roman" w:hAnsi="Times New Roman" w:cs="Times New Roman"/>
          <w:b/>
          <w:bCs/>
          <w:color w:val="333333"/>
          <w:sz w:val="20"/>
          <w:szCs w:val="20"/>
        </w:rPr>
        <w:t>* p&lt;0.05 compared to controls.</w:t>
      </w:r>
    </w:p>
    <w:p w:rsidR="00E15C09" w:rsidRPr="00E15C09" w:rsidRDefault="00E15C09" w:rsidP="00E15C09">
      <w:pPr>
        <w:numPr>
          <w:ilvl w:val="0"/>
          <w:numId w:val="3"/>
        </w:numPr>
        <w:shd w:val="clear" w:color="auto" w:fill="FFFFFF"/>
        <w:spacing w:line="336" w:lineRule="atLeast"/>
        <w:rPr>
          <w:rFonts w:ascii="Times New Roman" w:eastAsia="Times New Roman" w:hAnsi="Times New Roman" w:cs="Times New Roman"/>
          <w:b/>
          <w:bCs/>
          <w:color w:val="333333"/>
          <w:sz w:val="20"/>
          <w:szCs w:val="20"/>
        </w:rPr>
      </w:pPr>
      <w:r w:rsidRPr="00E15C09">
        <w:rPr>
          <w:rFonts w:ascii="Times New Roman" w:eastAsia="Times New Roman" w:hAnsi="Times New Roman" w:cs="Times New Roman"/>
          <w:b/>
          <w:bCs/>
          <w:color w:val="333333"/>
          <w:sz w:val="20"/>
          <w:szCs w:val="20"/>
        </w:rPr>
        <w:t>AM, abdominal migraine.</w:t>
      </w:r>
    </w:p>
    <w:p w:rsidR="004E2AB5" w:rsidRPr="00E15C09" w:rsidRDefault="00E15C09" w:rsidP="00E15C09">
      <w:pPr>
        <w:shd w:val="clear" w:color="auto" w:fill="FFFFFF"/>
        <w:spacing w:after="150" w:line="240" w:lineRule="auto"/>
        <w:rPr>
          <w:rFonts w:ascii="Times New Roman" w:eastAsia="Times New Roman" w:hAnsi="Times New Roman" w:cs="Times New Roman"/>
          <w:color w:val="333333"/>
          <w:sz w:val="20"/>
          <w:szCs w:val="20"/>
        </w:rPr>
      </w:pPr>
      <w:r w:rsidRPr="00E15C09">
        <w:rPr>
          <w:rFonts w:ascii="Times New Roman" w:eastAsia="Times New Roman" w:hAnsi="Times New Roman" w:cs="Times New Roman"/>
          <w:b/>
          <w:bCs/>
          <w:color w:val="333333"/>
          <w:sz w:val="20"/>
          <w:szCs w:val="20"/>
        </w:rPr>
        <w:t>Conclusion</w:t>
      </w:r>
      <w:r w:rsidRPr="00E15C09">
        <w:rPr>
          <w:rFonts w:ascii="Times New Roman" w:eastAsia="Times New Roman" w:hAnsi="Times New Roman" w:cs="Times New Roman"/>
          <w:color w:val="333333"/>
          <w:sz w:val="20"/>
          <w:szCs w:val="20"/>
        </w:rPr>
        <w:t xml:space="preserve"> GE and </w:t>
      </w:r>
      <w:proofErr w:type="spellStart"/>
      <w:r w:rsidRPr="00E15C09">
        <w:rPr>
          <w:rFonts w:ascii="Times New Roman" w:eastAsia="Times New Roman" w:hAnsi="Times New Roman" w:cs="Times New Roman"/>
          <w:color w:val="333333"/>
          <w:sz w:val="20"/>
          <w:szCs w:val="20"/>
        </w:rPr>
        <w:t>antral</w:t>
      </w:r>
      <w:proofErr w:type="spellEnd"/>
      <w:r w:rsidRPr="00E15C09">
        <w:rPr>
          <w:rFonts w:ascii="Times New Roman" w:eastAsia="Times New Roman" w:hAnsi="Times New Roman" w:cs="Times New Roman"/>
          <w:color w:val="333333"/>
          <w:sz w:val="20"/>
          <w:szCs w:val="20"/>
        </w:rPr>
        <w:t xml:space="preserve"> motility parameters were significantly impaired in children with all types of abdominal pain related FGD. GE negatively correlated with symptoms in FD and FAP. Motility parameters were not significantly different between subtypes of IBS.</w:t>
      </w:r>
      <w:r>
        <w:rPr>
          <w:rFonts w:ascii="Times New Roman" w:eastAsia="Times New Roman" w:hAnsi="Times New Roman" w:cs="Times New Roman"/>
          <w:color w:val="333333"/>
          <w:sz w:val="20"/>
          <w:szCs w:val="20"/>
        </w:rPr>
        <w:t xml:space="preserve">    </w:t>
      </w:r>
      <w:hyperlink r:id="rId29" w:tgtFrame="_new" w:history="1">
        <w:r w:rsidRPr="00E15C09">
          <w:rPr>
            <w:rFonts w:ascii="Times New Roman" w:eastAsia="Times New Roman" w:hAnsi="Times New Roman" w:cs="Times New Roman"/>
            <w:color w:val="2A6EBB"/>
            <w:sz w:val="20"/>
            <w:szCs w:val="20"/>
            <w:u w:val="single"/>
          </w:rPr>
          <w:t>http://dx.doi.org/10.1136/gut.2009.209023v</w:t>
        </w:r>
      </w:hyperlink>
    </w:p>
    <w:sectPr w:rsidR="004E2AB5" w:rsidRPr="00E15C09" w:rsidSect="00E15C09">
      <w:pgSz w:w="11907" w:h="16839" w:code="9"/>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516"/>
    <w:multiLevelType w:val="multilevel"/>
    <w:tmpl w:val="C47A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578E6"/>
    <w:multiLevelType w:val="multilevel"/>
    <w:tmpl w:val="C72A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26BDF"/>
    <w:multiLevelType w:val="multilevel"/>
    <w:tmpl w:val="490E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5C09"/>
    <w:rsid w:val="000B2252"/>
    <w:rsid w:val="002965A0"/>
    <w:rsid w:val="004E2AB5"/>
    <w:rsid w:val="00E15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B5"/>
  </w:style>
  <w:style w:type="paragraph" w:styleId="Heading2">
    <w:name w:val="heading 2"/>
    <w:basedOn w:val="Normal"/>
    <w:link w:val="Heading2Char"/>
    <w:uiPriority w:val="9"/>
    <w:qFormat/>
    <w:rsid w:val="00E15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C09"/>
    <w:rPr>
      <w:rFonts w:ascii="Times New Roman" w:eastAsia="Times New Roman" w:hAnsi="Times New Roman" w:cs="Times New Roman"/>
      <w:b/>
      <w:bCs/>
      <w:sz w:val="36"/>
      <w:szCs w:val="36"/>
    </w:rPr>
  </w:style>
  <w:style w:type="character" w:customStyle="1" w:styleId="name">
    <w:name w:val="name"/>
    <w:basedOn w:val="DefaultParagraphFont"/>
    <w:rsid w:val="00E15C09"/>
  </w:style>
  <w:style w:type="character" w:styleId="Hyperlink">
    <w:name w:val="Hyperlink"/>
    <w:basedOn w:val="DefaultParagraphFont"/>
    <w:uiPriority w:val="99"/>
    <w:semiHidden/>
    <w:unhideWhenUsed/>
    <w:rsid w:val="00E15C09"/>
    <w:rPr>
      <w:color w:val="0000FF"/>
      <w:u w:val="single"/>
    </w:rPr>
  </w:style>
  <w:style w:type="paragraph" w:styleId="NormalWeb">
    <w:name w:val="Normal (Web)"/>
    <w:basedOn w:val="Normal"/>
    <w:uiPriority w:val="99"/>
    <w:semiHidden/>
    <w:unhideWhenUsed/>
    <w:rsid w:val="00E15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C09"/>
    <w:rPr>
      <w:b/>
      <w:bCs/>
    </w:rPr>
  </w:style>
  <w:style w:type="character" w:customStyle="1" w:styleId="table-label">
    <w:name w:val="table-label"/>
    <w:basedOn w:val="DefaultParagraphFont"/>
    <w:rsid w:val="00E15C09"/>
  </w:style>
  <w:style w:type="character" w:customStyle="1" w:styleId="fn-label">
    <w:name w:val="fn-label"/>
    <w:basedOn w:val="DefaultParagraphFont"/>
    <w:rsid w:val="00E15C09"/>
  </w:style>
</w:styles>
</file>

<file path=word/webSettings.xml><?xml version="1.0" encoding="utf-8"?>
<w:webSettings xmlns:r="http://schemas.openxmlformats.org/officeDocument/2006/relationships" xmlns:w="http://schemas.openxmlformats.org/wordprocessingml/2006/main">
  <w:divs>
    <w:div w:id="857501628">
      <w:bodyDiv w:val="1"/>
      <w:marLeft w:val="0"/>
      <w:marRight w:val="0"/>
      <w:marTop w:val="0"/>
      <w:marBottom w:val="0"/>
      <w:divBdr>
        <w:top w:val="none" w:sz="0" w:space="0" w:color="auto"/>
        <w:left w:val="none" w:sz="0" w:space="0" w:color="auto"/>
        <w:bottom w:val="none" w:sz="0" w:space="0" w:color="auto"/>
        <w:right w:val="none" w:sz="0" w:space="0" w:color="auto"/>
      </w:divBdr>
      <w:divsChild>
        <w:div w:id="2095004252">
          <w:marLeft w:val="0"/>
          <w:marRight w:val="0"/>
          <w:marTop w:val="0"/>
          <w:marBottom w:val="0"/>
          <w:divBdr>
            <w:top w:val="none" w:sz="0" w:space="0" w:color="auto"/>
            <w:left w:val="none" w:sz="0" w:space="0" w:color="auto"/>
            <w:bottom w:val="none" w:sz="0" w:space="0" w:color="auto"/>
            <w:right w:val="none" w:sz="0" w:space="0" w:color="auto"/>
          </w:divBdr>
          <w:divsChild>
            <w:div w:id="561065617">
              <w:marLeft w:val="0"/>
              <w:marRight w:val="0"/>
              <w:marTop w:val="0"/>
              <w:marBottom w:val="0"/>
              <w:divBdr>
                <w:top w:val="none" w:sz="0" w:space="0" w:color="auto"/>
                <w:left w:val="none" w:sz="0" w:space="0" w:color="auto"/>
                <w:bottom w:val="none" w:sz="0" w:space="0" w:color="auto"/>
                <w:right w:val="none" w:sz="0" w:space="0" w:color="auto"/>
              </w:divBdr>
              <w:divsChild>
                <w:div w:id="1966961633">
                  <w:marLeft w:val="0"/>
                  <w:marRight w:val="0"/>
                  <w:marTop w:val="0"/>
                  <w:marBottom w:val="0"/>
                  <w:divBdr>
                    <w:top w:val="none" w:sz="0" w:space="0" w:color="auto"/>
                    <w:left w:val="none" w:sz="0" w:space="0" w:color="auto"/>
                    <w:bottom w:val="none" w:sz="0" w:space="0" w:color="auto"/>
                    <w:right w:val="none" w:sz="0" w:space="0" w:color="auto"/>
                  </w:divBdr>
                  <w:divsChild>
                    <w:div w:id="833649239">
                      <w:marLeft w:val="0"/>
                      <w:marRight w:val="0"/>
                      <w:marTop w:val="0"/>
                      <w:marBottom w:val="0"/>
                      <w:divBdr>
                        <w:top w:val="none" w:sz="0" w:space="0" w:color="auto"/>
                        <w:left w:val="none" w:sz="0" w:space="0" w:color="auto"/>
                        <w:bottom w:val="none" w:sz="0" w:space="0" w:color="auto"/>
                        <w:right w:val="none" w:sz="0" w:space="0" w:color="auto"/>
                      </w:divBdr>
                      <w:divsChild>
                        <w:div w:id="3835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97138">
          <w:marLeft w:val="0"/>
          <w:marRight w:val="0"/>
          <w:marTop w:val="0"/>
          <w:marBottom w:val="0"/>
          <w:divBdr>
            <w:top w:val="none" w:sz="0" w:space="0" w:color="auto"/>
            <w:left w:val="none" w:sz="0" w:space="0" w:color="auto"/>
            <w:bottom w:val="none" w:sz="0" w:space="0" w:color="auto"/>
            <w:right w:val="none" w:sz="0" w:space="0" w:color="auto"/>
          </w:divBdr>
          <w:divsChild>
            <w:div w:id="158667030">
              <w:marLeft w:val="0"/>
              <w:marRight w:val="0"/>
              <w:marTop w:val="0"/>
              <w:marBottom w:val="0"/>
              <w:divBdr>
                <w:top w:val="none" w:sz="0" w:space="0" w:color="auto"/>
                <w:left w:val="none" w:sz="0" w:space="0" w:color="auto"/>
                <w:bottom w:val="none" w:sz="0" w:space="0" w:color="auto"/>
                <w:right w:val="none" w:sz="0" w:space="0" w:color="auto"/>
              </w:divBdr>
              <w:divsChild>
                <w:div w:id="1402561650">
                  <w:marLeft w:val="0"/>
                  <w:marRight w:val="0"/>
                  <w:marTop w:val="0"/>
                  <w:marBottom w:val="0"/>
                  <w:divBdr>
                    <w:top w:val="none" w:sz="0" w:space="0" w:color="auto"/>
                    <w:left w:val="none" w:sz="0" w:space="0" w:color="auto"/>
                    <w:bottom w:val="none" w:sz="0" w:space="0" w:color="auto"/>
                    <w:right w:val="none" w:sz="0" w:space="0" w:color="auto"/>
                  </w:divBdr>
                  <w:divsChild>
                    <w:div w:id="19135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5940">
          <w:marLeft w:val="0"/>
          <w:marRight w:val="0"/>
          <w:marTop w:val="0"/>
          <w:marBottom w:val="0"/>
          <w:divBdr>
            <w:top w:val="none" w:sz="0" w:space="0" w:color="auto"/>
            <w:left w:val="none" w:sz="0" w:space="0" w:color="auto"/>
            <w:bottom w:val="none" w:sz="0" w:space="0" w:color="auto"/>
            <w:right w:val="none" w:sz="0" w:space="0" w:color="auto"/>
          </w:divBdr>
          <w:divsChild>
            <w:div w:id="694961213">
              <w:marLeft w:val="0"/>
              <w:marRight w:val="0"/>
              <w:marTop w:val="0"/>
              <w:marBottom w:val="0"/>
              <w:divBdr>
                <w:top w:val="none" w:sz="0" w:space="0" w:color="auto"/>
                <w:left w:val="none" w:sz="0" w:space="0" w:color="auto"/>
                <w:bottom w:val="none" w:sz="0" w:space="0" w:color="auto"/>
                <w:right w:val="none" w:sz="0" w:space="0" w:color="auto"/>
              </w:divBdr>
              <w:divsChild>
                <w:div w:id="1278564176">
                  <w:marLeft w:val="0"/>
                  <w:marRight w:val="0"/>
                  <w:marTop w:val="0"/>
                  <w:marBottom w:val="0"/>
                  <w:divBdr>
                    <w:top w:val="none" w:sz="0" w:space="0" w:color="auto"/>
                    <w:left w:val="none" w:sz="0" w:space="0" w:color="auto"/>
                    <w:bottom w:val="none" w:sz="0" w:space="0" w:color="auto"/>
                    <w:right w:val="none" w:sz="0" w:space="0" w:color="auto"/>
                  </w:divBdr>
                  <w:divsChild>
                    <w:div w:id="1818452791">
                      <w:marLeft w:val="0"/>
                      <w:marRight w:val="0"/>
                      <w:marTop w:val="0"/>
                      <w:marBottom w:val="300"/>
                      <w:divBdr>
                        <w:top w:val="none" w:sz="0" w:space="0" w:color="auto"/>
                        <w:left w:val="none" w:sz="0" w:space="0" w:color="auto"/>
                        <w:bottom w:val="none" w:sz="0" w:space="0" w:color="auto"/>
                        <w:right w:val="none" w:sz="0" w:space="0" w:color="auto"/>
                      </w:divBdr>
                      <w:divsChild>
                        <w:div w:id="2088450972">
                          <w:marLeft w:val="0"/>
                          <w:marRight w:val="0"/>
                          <w:marTop w:val="0"/>
                          <w:marBottom w:val="0"/>
                          <w:divBdr>
                            <w:top w:val="none" w:sz="0" w:space="0" w:color="auto"/>
                            <w:left w:val="none" w:sz="0" w:space="0" w:color="auto"/>
                            <w:bottom w:val="none" w:sz="0" w:space="0" w:color="auto"/>
                            <w:right w:val="none" w:sz="0" w:space="0" w:color="auto"/>
                          </w:divBdr>
                          <w:divsChild>
                            <w:div w:id="2109696307">
                              <w:marLeft w:val="0"/>
                              <w:marRight w:val="0"/>
                              <w:marTop w:val="0"/>
                              <w:marBottom w:val="0"/>
                              <w:divBdr>
                                <w:top w:val="none" w:sz="0" w:space="0" w:color="auto"/>
                                <w:left w:val="none" w:sz="0" w:space="0" w:color="auto"/>
                                <w:bottom w:val="none" w:sz="0" w:space="0" w:color="auto"/>
                                <w:right w:val="none" w:sz="0" w:space="0" w:color="auto"/>
                              </w:divBdr>
                              <w:divsChild>
                                <w:div w:id="1926720292">
                                  <w:marLeft w:val="0"/>
                                  <w:marRight w:val="0"/>
                                  <w:marTop w:val="0"/>
                                  <w:marBottom w:val="0"/>
                                  <w:divBdr>
                                    <w:top w:val="none" w:sz="0" w:space="0" w:color="auto"/>
                                    <w:left w:val="none" w:sz="0" w:space="0" w:color="auto"/>
                                    <w:bottom w:val="none" w:sz="0" w:space="0" w:color="auto"/>
                                    <w:right w:val="none" w:sz="0" w:space="0" w:color="auto"/>
                                  </w:divBdr>
                                  <w:divsChild>
                                    <w:div w:id="463236050">
                                      <w:marLeft w:val="0"/>
                                      <w:marRight w:val="0"/>
                                      <w:marTop w:val="0"/>
                                      <w:marBottom w:val="150"/>
                                      <w:divBdr>
                                        <w:top w:val="none" w:sz="0" w:space="0" w:color="auto"/>
                                        <w:left w:val="none" w:sz="0" w:space="0" w:color="auto"/>
                                        <w:bottom w:val="none" w:sz="0" w:space="0" w:color="auto"/>
                                        <w:right w:val="none" w:sz="0" w:space="0" w:color="auto"/>
                                      </w:divBdr>
                                      <w:divsChild>
                                        <w:div w:id="385498280">
                                          <w:marLeft w:val="0"/>
                                          <w:marRight w:val="0"/>
                                          <w:marTop w:val="0"/>
                                          <w:marBottom w:val="0"/>
                                          <w:divBdr>
                                            <w:top w:val="none" w:sz="0" w:space="0" w:color="auto"/>
                                            <w:left w:val="none" w:sz="0" w:space="0" w:color="auto"/>
                                            <w:bottom w:val="none" w:sz="0" w:space="0" w:color="auto"/>
                                            <w:right w:val="none" w:sz="0" w:space="0" w:color="auto"/>
                                          </w:divBdr>
                                          <w:divsChild>
                                            <w:div w:id="1594362868">
                                              <w:marLeft w:val="0"/>
                                              <w:marRight w:val="0"/>
                                              <w:marTop w:val="0"/>
                                              <w:marBottom w:val="0"/>
                                              <w:divBdr>
                                                <w:top w:val="none" w:sz="0" w:space="0" w:color="auto"/>
                                                <w:left w:val="none" w:sz="0" w:space="0" w:color="auto"/>
                                                <w:bottom w:val="none" w:sz="0" w:space="0" w:color="auto"/>
                                                <w:right w:val="none" w:sz="0" w:space="0" w:color="auto"/>
                                              </w:divBdr>
                                              <w:divsChild>
                                                <w:div w:id="6752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4157">
                                      <w:marLeft w:val="0"/>
                                      <w:marRight w:val="0"/>
                                      <w:marTop w:val="0"/>
                                      <w:marBottom w:val="0"/>
                                      <w:divBdr>
                                        <w:top w:val="none" w:sz="0" w:space="0" w:color="auto"/>
                                        <w:left w:val="none" w:sz="0" w:space="0" w:color="auto"/>
                                        <w:bottom w:val="none" w:sz="0" w:space="0" w:color="auto"/>
                                        <w:right w:val="none" w:sz="0" w:space="0" w:color="auto"/>
                                      </w:divBdr>
                                      <w:divsChild>
                                        <w:div w:id="272398786">
                                          <w:marLeft w:val="0"/>
                                          <w:marRight w:val="0"/>
                                          <w:marTop w:val="0"/>
                                          <w:marBottom w:val="0"/>
                                          <w:divBdr>
                                            <w:top w:val="none" w:sz="0" w:space="0" w:color="auto"/>
                                            <w:left w:val="none" w:sz="0" w:space="0" w:color="auto"/>
                                            <w:bottom w:val="none" w:sz="0" w:space="0" w:color="auto"/>
                                            <w:right w:val="none" w:sz="0" w:space="0" w:color="auto"/>
                                          </w:divBdr>
                                          <w:divsChild>
                                            <w:div w:id="2062631074">
                                              <w:marLeft w:val="0"/>
                                              <w:marRight w:val="0"/>
                                              <w:marTop w:val="0"/>
                                              <w:marBottom w:val="0"/>
                                              <w:divBdr>
                                                <w:top w:val="none" w:sz="0" w:space="0" w:color="auto"/>
                                                <w:left w:val="none" w:sz="0" w:space="0" w:color="auto"/>
                                                <w:bottom w:val="none" w:sz="0" w:space="0" w:color="auto"/>
                                                <w:right w:val="none" w:sz="0" w:space="0" w:color="auto"/>
                                              </w:divBdr>
                                              <w:divsChild>
                                                <w:div w:id="955021107">
                                                  <w:marLeft w:val="0"/>
                                                  <w:marRight w:val="0"/>
                                                  <w:marTop w:val="0"/>
                                                  <w:marBottom w:val="0"/>
                                                  <w:divBdr>
                                                    <w:top w:val="none" w:sz="0" w:space="0" w:color="auto"/>
                                                    <w:left w:val="none" w:sz="0" w:space="0" w:color="auto"/>
                                                    <w:bottom w:val="none" w:sz="0" w:space="0" w:color="auto"/>
                                                    <w:right w:val="none" w:sz="0" w:space="0" w:color="auto"/>
                                                  </w:divBdr>
                                                  <w:divsChild>
                                                    <w:div w:id="1364936177">
                                                      <w:marLeft w:val="0"/>
                                                      <w:marRight w:val="0"/>
                                                      <w:marTop w:val="0"/>
                                                      <w:marBottom w:val="0"/>
                                                      <w:divBdr>
                                                        <w:top w:val="none" w:sz="0" w:space="0" w:color="auto"/>
                                                        <w:left w:val="none" w:sz="0" w:space="0" w:color="auto"/>
                                                        <w:bottom w:val="none" w:sz="0" w:space="0" w:color="auto"/>
                                                        <w:right w:val="none" w:sz="0" w:space="0" w:color="auto"/>
                                                      </w:divBdr>
                                                      <w:divsChild>
                                                        <w:div w:id="520775719">
                                                          <w:marLeft w:val="0"/>
                                                          <w:marRight w:val="0"/>
                                                          <w:marTop w:val="0"/>
                                                          <w:marBottom w:val="0"/>
                                                          <w:divBdr>
                                                            <w:top w:val="none" w:sz="0" w:space="0" w:color="auto"/>
                                                            <w:left w:val="none" w:sz="0" w:space="0" w:color="auto"/>
                                                            <w:bottom w:val="none" w:sz="0" w:space="0" w:color="auto"/>
                                                            <w:right w:val="none" w:sz="0" w:space="0" w:color="auto"/>
                                                          </w:divBdr>
                                                          <w:divsChild>
                                                            <w:div w:id="15888662">
                                                              <w:marLeft w:val="0"/>
                                                              <w:marRight w:val="0"/>
                                                              <w:marTop w:val="0"/>
                                                              <w:marBottom w:val="0"/>
                                                              <w:divBdr>
                                                                <w:top w:val="none" w:sz="0" w:space="0" w:color="auto"/>
                                                                <w:left w:val="none" w:sz="0" w:space="0" w:color="auto"/>
                                                                <w:bottom w:val="none" w:sz="0" w:space="0" w:color="auto"/>
                                                                <w:right w:val="none" w:sz="0" w:space="0" w:color="auto"/>
                                                              </w:divBdr>
                                                            </w:div>
                                                            <w:div w:id="2140761310">
                                                              <w:marLeft w:val="0"/>
                                                              <w:marRight w:val="0"/>
                                                              <w:marTop w:val="0"/>
                                                              <w:marBottom w:val="0"/>
                                                              <w:divBdr>
                                                                <w:top w:val="none" w:sz="0" w:space="0" w:color="auto"/>
                                                                <w:left w:val="none" w:sz="0" w:space="0" w:color="auto"/>
                                                                <w:bottom w:val="none" w:sz="0" w:space="0" w:color="auto"/>
                                                                <w:right w:val="none" w:sz="0" w:space="0" w:color="auto"/>
                                                              </w:divBdr>
                                                            </w:div>
                                                            <w:div w:id="1695304089">
                                                              <w:marLeft w:val="0"/>
                                                              <w:marRight w:val="0"/>
                                                              <w:marTop w:val="0"/>
                                                              <w:marBottom w:val="0"/>
                                                              <w:divBdr>
                                                                <w:top w:val="none" w:sz="0" w:space="0" w:color="auto"/>
                                                                <w:left w:val="none" w:sz="0" w:space="0" w:color="auto"/>
                                                                <w:bottom w:val="none" w:sz="0" w:space="0" w:color="auto"/>
                                                                <w:right w:val="none" w:sz="0" w:space="0" w:color="auto"/>
                                                              </w:divBdr>
                                                              <w:divsChild>
                                                                <w:div w:id="1552382603">
                                                                  <w:marLeft w:val="0"/>
                                                                  <w:marRight w:val="0"/>
                                                                  <w:marTop w:val="240"/>
                                                                  <w:marBottom w:val="240"/>
                                                                  <w:divBdr>
                                                                    <w:top w:val="single" w:sz="6" w:space="12" w:color="CCCCCC"/>
                                                                    <w:left w:val="none" w:sz="0" w:space="0" w:color="auto"/>
                                                                    <w:bottom w:val="single" w:sz="6" w:space="12" w:color="CCCCCC"/>
                                                                    <w:right w:val="none" w:sz="0" w:space="0" w:color="auto"/>
                                                                  </w:divBdr>
                                                                  <w:divsChild>
                                                                    <w:div w:id="1645504089">
                                                                      <w:marLeft w:val="240"/>
                                                                      <w:marRight w:val="0"/>
                                                                      <w:marTop w:val="0"/>
                                                                      <w:marBottom w:val="0"/>
                                                                      <w:divBdr>
                                                                        <w:top w:val="none" w:sz="0" w:space="0" w:color="auto"/>
                                                                        <w:left w:val="none" w:sz="0" w:space="0" w:color="auto"/>
                                                                        <w:bottom w:val="none" w:sz="0" w:space="0" w:color="auto"/>
                                                                        <w:right w:val="none" w:sz="0" w:space="0" w:color="auto"/>
                                                                      </w:divBdr>
                                                                      <w:divsChild>
                                                                        <w:div w:id="845095234">
                                                                          <w:marLeft w:val="0"/>
                                                                          <w:marRight w:val="0"/>
                                                                          <w:marTop w:val="0"/>
                                                                          <w:marBottom w:val="0"/>
                                                                          <w:divBdr>
                                                                            <w:top w:val="none" w:sz="0" w:space="0" w:color="auto"/>
                                                                            <w:left w:val="none" w:sz="0" w:space="0" w:color="auto"/>
                                                                            <w:bottom w:val="none" w:sz="0" w:space="0" w:color="auto"/>
                                                                            <w:right w:val="none" w:sz="0" w:space="0" w:color="auto"/>
                                                                          </w:divBdr>
                                                                        </w:div>
                                                                      </w:divsChild>
                                                                    </w:div>
                                                                    <w:div w:id="1969580068">
                                                                      <w:marLeft w:val="0"/>
                                                                      <w:marRight w:val="0"/>
                                                                      <w:marTop w:val="0"/>
                                                                      <w:marBottom w:val="0"/>
                                                                      <w:divBdr>
                                                                        <w:top w:val="none" w:sz="0" w:space="0" w:color="auto"/>
                                                                        <w:left w:val="none" w:sz="0" w:space="0" w:color="auto"/>
                                                                        <w:bottom w:val="none" w:sz="0" w:space="0" w:color="auto"/>
                                                                        <w:right w:val="none" w:sz="0" w:space="0" w:color="auto"/>
                                                                      </w:divBdr>
                                                                      <w:divsChild>
                                                                        <w:div w:id="403917178">
                                                                          <w:marLeft w:val="0"/>
                                                                          <w:marRight w:val="0"/>
                                                                          <w:marTop w:val="0"/>
                                                                          <w:marBottom w:val="0"/>
                                                                          <w:divBdr>
                                                                            <w:top w:val="none" w:sz="0" w:space="0" w:color="auto"/>
                                                                            <w:left w:val="none" w:sz="0" w:space="0" w:color="auto"/>
                                                                            <w:bottom w:val="none" w:sz="0" w:space="0" w:color="auto"/>
                                                                            <w:right w:val="none" w:sz="0" w:space="0" w:color="auto"/>
                                                                          </w:divBdr>
                                                                          <w:divsChild>
                                                                            <w:div w:id="545219778">
                                                                              <w:marLeft w:val="0"/>
                                                                              <w:marRight w:val="0"/>
                                                                              <w:marTop w:val="0"/>
                                                                              <w:marBottom w:val="0"/>
                                                                              <w:divBdr>
                                                                                <w:top w:val="none" w:sz="0" w:space="0" w:color="auto"/>
                                                                                <w:left w:val="none" w:sz="0" w:space="0" w:color="auto"/>
                                                                                <w:bottom w:val="none" w:sz="0" w:space="0" w:color="auto"/>
                                                                                <w:right w:val="none" w:sz="0" w:space="0" w:color="auto"/>
                                                                              </w:divBdr>
                                                                              <w:divsChild>
                                                                                <w:div w:id="445928091">
                                                                                  <w:marLeft w:val="0"/>
                                                                                  <w:marRight w:val="0"/>
                                                                                  <w:marTop w:val="0"/>
                                                                                  <w:marBottom w:val="0"/>
                                                                                  <w:divBdr>
                                                                                    <w:top w:val="none" w:sz="0" w:space="0" w:color="auto"/>
                                                                                    <w:left w:val="none" w:sz="0" w:space="0" w:color="auto"/>
                                                                                    <w:bottom w:val="none" w:sz="0" w:space="0" w:color="auto"/>
                                                                                    <w:right w:val="none" w:sz="0" w:space="0" w:color="auto"/>
                                                                                  </w:divBdr>
                                                                                  <w:divsChild>
                                                                                    <w:div w:id="1455950846">
                                                                                      <w:marLeft w:val="0"/>
                                                                                      <w:marRight w:val="0"/>
                                                                                      <w:marTop w:val="240"/>
                                                                                      <w:marBottom w:val="240"/>
                                                                                      <w:divBdr>
                                                                                        <w:top w:val="none" w:sz="0" w:space="0" w:color="auto"/>
                                                                                        <w:left w:val="none" w:sz="0" w:space="0" w:color="auto"/>
                                                                                        <w:bottom w:val="none" w:sz="0" w:space="0" w:color="auto"/>
                                                                                        <w:right w:val="none" w:sz="0" w:space="0" w:color="auto"/>
                                                                                      </w:divBdr>
                                                                                      <w:divsChild>
                                                                                        <w:div w:id="5013394">
                                                                                          <w:marLeft w:val="0"/>
                                                                                          <w:marRight w:val="0"/>
                                                                                          <w:marTop w:val="0"/>
                                                                                          <w:marBottom w:val="0"/>
                                                                                          <w:divBdr>
                                                                                            <w:top w:val="none" w:sz="0" w:space="0" w:color="auto"/>
                                                                                            <w:left w:val="none" w:sz="0" w:space="0" w:color="auto"/>
                                                                                            <w:bottom w:val="none" w:sz="0" w:space="0" w:color="auto"/>
                                                                                            <w:right w:val="none" w:sz="0" w:space="0" w:color="auto"/>
                                                                                          </w:divBdr>
                                                                                        </w:div>
                                                                                        <w:div w:id="1946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15122">
                                      <w:marLeft w:val="0"/>
                                      <w:marRight w:val="0"/>
                                      <w:marTop w:val="0"/>
                                      <w:marBottom w:val="0"/>
                                      <w:divBdr>
                                        <w:top w:val="none" w:sz="0" w:space="0" w:color="auto"/>
                                        <w:left w:val="none" w:sz="0" w:space="0" w:color="auto"/>
                                        <w:bottom w:val="none" w:sz="0" w:space="0" w:color="auto"/>
                                        <w:right w:val="none" w:sz="0" w:space="0" w:color="auto"/>
                                      </w:divBdr>
                                      <w:divsChild>
                                        <w:div w:id="9778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t.bmj.com/content/59/Suppl_1/A136.3" TargetMode="External"/><Relationship Id="rId13" Type="http://schemas.openxmlformats.org/officeDocument/2006/relationships/hyperlink" Target="http://gut.bmj.com/content/59/Suppl_1/A136.3" TargetMode="External"/><Relationship Id="rId18" Type="http://schemas.openxmlformats.org/officeDocument/2006/relationships/hyperlink" Target="http://gut.bmj.com/content/59/Suppl_1/A136.3" TargetMode="External"/><Relationship Id="rId26" Type="http://schemas.openxmlformats.org/officeDocument/2006/relationships/hyperlink" Target="http://gut.bmj.com/content/59/Suppl_1/A136.3" TargetMode="External"/><Relationship Id="rId3" Type="http://schemas.openxmlformats.org/officeDocument/2006/relationships/settings" Target="settings.xml"/><Relationship Id="rId21" Type="http://schemas.openxmlformats.org/officeDocument/2006/relationships/hyperlink" Target="http://gut.bmj.com/content/59/Suppl_1/A136.3" TargetMode="External"/><Relationship Id="rId7" Type="http://schemas.openxmlformats.org/officeDocument/2006/relationships/hyperlink" Target="http://gut.bmj.com/content/59/Suppl_1/A136.3" TargetMode="External"/><Relationship Id="rId12" Type="http://schemas.openxmlformats.org/officeDocument/2006/relationships/hyperlink" Target="http://gut.bmj.com/content/59/Suppl_1/A136.3" TargetMode="External"/><Relationship Id="rId17" Type="http://schemas.openxmlformats.org/officeDocument/2006/relationships/hyperlink" Target="http://gut.bmj.com/content/59/Suppl_1/A136.3" TargetMode="External"/><Relationship Id="rId25" Type="http://schemas.openxmlformats.org/officeDocument/2006/relationships/hyperlink" Target="http://gut.bmj.com/content/59/Suppl_1/A136.3" TargetMode="External"/><Relationship Id="rId2" Type="http://schemas.openxmlformats.org/officeDocument/2006/relationships/styles" Target="styles.xml"/><Relationship Id="rId16" Type="http://schemas.openxmlformats.org/officeDocument/2006/relationships/hyperlink" Target="http://gut.bmj.com/content/59/Suppl_1/A136.3" TargetMode="External"/><Relationship Id="rId20" Type="http://schemas.openxmlformats.org/officeDocument/2006/relationships/hyperlink" Target="http://gut.bmj.com/content/59/Suppl_1/A136.3" TargetMode="External"/><Relationship Id="rId29" Type="http://schemas.openxmlformats.org/officeDocument/2006/relationships/hyperlink" Target="http://dx.doi.org/10.1136/gut.2009.209023v" TargetMode="External"/><Relationship Id="rId1" Type="http://schemas.openxmlformats.org/officeDocument/2006/relationships/numbering" Target="numbering.xml"/><Relationship Id="rId6" Type="http://schemas.openxmlformats.org/officeDocument/2006/relationships/hyperlink" Target="http://gut.bmj.com/content/59/Suppl_1/A136.3" TargetMode="External"/><Relationship Id="rId11" Type="http://schemas.openxmlformats.org/officeDocument/2006/relationships/hyperlink" Target="http://gut.bmj.com/content/59/Suppl_1/A136.3" TargetMode="External"/><Relationship Id="rId24" Type="http://schemas.openxmlformats.org/officeDocument/2006/relationships/hyperlink" Target="http://gut.bmj.com/content/59/Suppl_1/A136.3" TargetMode="External"/><Relationship Id="rId5" Type="http://schemas.openxmlformats.org/officeDocument/2006/relationships/hyperlink" Target="http://gut.bmj.com/content/59/Suppl_1/A136.3" TargetMode="External"/><Relationship Id="rId15" Type="http://schemas.openxmlformats.org/officeDocument/2006/relationships/hyperlink" Target="http://gut.bmj.com/content/59/Suppl_1/A136.3" TargetMode="External"/><Relationship Id="rId23" Type="http://schemas.openxmlformats.org/officeDocument/2006/relationships/hyperlink" Target="http://gut.bmj.com/content/59/Suppl_1/A136.3" TargetMode="External"/><Relationship Id="rId28" Type="http://schemas.openxmlformats.org/officeDocument/2006/relationships/hyperlink" Target="http://gut.bmj.com/content/59/Suppl_1/A136.3" TargetMode="External"/><Relationship Id="rId10" Type="http://schemas.openxmlformats.org/officeDocument/2006/relationships/hyperlink" Target="http://gut.bmj.com/content/59/Suppl_1/A136.3" TargetMode="External"/><Relationship Id="rId19" Type="http://schemas.openxmlformats.org/officeDocument/2006/relationships/hyperlink" Target="http://gut.bmj.com/content/59/Suppl_1/A136.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t.bmj.com/content/59/Suppl_1/A136.3" TargetMode="External"/><Relationship Id="rId14" Type="http://schemas.openxmlformats.org/officeDocument/2006/relationships/hyperlink" Target="http://gut.bmj.com/content/59/Suppl_1/A136.3" TargetMode="External"/><Relationship Id="rId22" Type="http://schemas.openxmlformats.org/officeDocument/2006/relationships/hyperlink" Target="http://gut.bmj.com/content/59/Suppl_1/A136.3" TargetMode="External"/><Relationship Id="rId27" Type="http://schemas.openxmlformats.org/officeDocument/2006/relationships/hyperlink" Target="http://gut.bmj.com/content/59/Suppl_1/A136.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2017-11-08T06:36:00Z</dcterms:created>
  <dcterms:modified xsi:type="dcterms:W3CDTF">2017-11-08T06:36:00Z</dcterms:modified>
</cp:coreProperties>
</file>