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58" w:rsidRPr="004F5158" w:rsidRDefault="004F5158" w:rsidP="004F515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F5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AIMS: </w:t>
      </w:r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The aim of this study was to evaluate the association between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faecal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incontinence (FI), child abuse, somatization and health- related quality of life (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HRQoL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>) in adolescents.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METHODS: </w:t>
      </w:r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Adolescents (aged 13-18 years) were selected from four semi-urban schools in the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Gampaha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district, Sri Lanka. A validated, self-administered questionnaire was used for data collection. FI was defined as at least one episode of leakage of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faeces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per month.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RESULTS: </w:t>
      </w:r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A total of 1807 adolescents were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[males 973 (53.8%), mean age 14.4 years, SD 1.4 years]. Forty seven (2.6%) had FI. Prevalence of FI was significantly higher in those exposed to sexual abuse (17% vs. 2.3% in non-abused, p &lt; 0.0001), emotional abuse (40.4% vs. 22.7%, p &lt; 0.0001), and physical abuse (51% vs. 24.3%, p &lt; 0.0001). Adolescents with FI had higher mean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somatisation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scores [mean 20.1, (SD 14.5) vs. mean 9.3, (SD 9.2)] in comparison to those without FI, (p &lt; 0.0001). Those with FI also had lower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HRQoL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scores for physical functioning, social functioning, emotional functioning domains and performances at school, together with a lower overall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HRQoL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score compared to those without FI (74.6 vs. 87.1, p &lt; 0.0001).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CONCLUSIONS: </w:t>
      </w:r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There is a significant association between FI and physical, sexual and emotional abuse. They also have a higher somatization score and a poor </w:t>
      </w:r>
      <w:proofErr w:type="spellStart"/>
      <w:r w:rsidRPr="004F5158">
        <w:rPr>
          <w:rFonts w:ascii="Times New Roman" w:eastAsia="Times New Roman" w:hAnsi="Times New Roman" w:cs="Times New Roman"/>
          <w:sz w:val="24"/>
          <w:szCs w:val="24"/>
        </w:rPr>
        <w:t>HRQoL</w:t>
      </w:r>
      <w:proofErr w:type="spellEnd"/>
      <w:r w:rsidRPr="004F5158">
        <w:rPr>
          <w:rFonts w:ascii="Times New Roman" w:eastAsia="Times New Roman" w:hAnsi="Times New Roman" w:cs="Times New Roman"/>
          <w:sz w:val="24"/>
          <w:szCs w:val="24"/>
        </w:rPr>
        <w:t xml:space="preserve"> score in physical, emotional, social and school functioning domains in comparison to those without FI.</w:t>
      </w:r>
    </w:p>
    <w:bookmarkEnd w:id="0"/>
    <w:p w:rsidR="004F5158" w:rsidRDefault="004F5158"/>
    <w:sectPr w:rsidR="004F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8"/>
    <w:rsid w:val="004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EBC4-2CD5-4CC0-B47E-A3879CE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5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51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2015-11-28T04:13:00Z</dcterms:created>
  <dcterms:modified xsi:type="dcterms:W3CDTF">2015-11-28T04:15:00Z</dcterms:modified>
</cp:coreProperties>
</file>