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C" w:rsidRDefault="002235AC">
      <w:pPr>
        <w:shd w:val="clear" w:color="auto" w:fill="FFFFFF"/>
        <w:spacing w:line="230" w:lineRule="exact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Pp18</w:t>
      </w:r>
    </w:p>
    <w:p w:rsidR="00000000" w:rsidRDefault="002235AC">
      <w:pPr>
        <w:shd w:val="clear" w:color="auto" w:fill="FFFFFF"/>
        <w:spacing w:line="230" w:lineRule="exact"/>
      </w:pPr>
      <w:r>
        <w:rPr>
          <w:b/>
          <w:bCs/>
          <w:color w:val="000000"/>
          <w:spacing w:val="2"/>
        </w:rPr>
        <w:t xml:space="preserve">The validation of the Sinhala version of the Kessler psychological distress scale (K10) to screen for </w:t>
      </w:r>
      <w:r>
        <w:rPr>
          <w:b/>
          <w:bCs/>
          <w:color w:val="000000"/>
          <w:spacing w:val="1"/>
        </w:rPr>
        <w:t>psychiatric morbidity</w:t>
      </w:r>
    </w:p>
    <w:p w:rsidR="00000000" w:rsidRDefault="002235AC">
      <w:pPr>
        <w:shd w:val="clear" w:color="auto" w:fill="FFFFFF"/>
        <w:spacing w:line="230" w:lineRule="exact"/>
        <w:ind w:left="22"/>
      </w:pPr>
      <w:proofErr w:type="spellStart"/>
      <w:proofErr w:type="gramStart"/>
      <w:r>
        <w:rPr>
          <w:i/>
          <w:iCs/>
          <w:color w:val="000000"/>
          <w:spacing w:val="5"/>
          <w:sz w:val="19"/>
          <w:szCs w:val="19"/>
          <w:u w:val="single"/>
        </w:rPr>
        <w:t>Wileratnelf</w:t>
      </w:r>
      <w:proofErr w:type="spellEnd"/>
      <w:r>
        <w:rPr>
          <w:i/>
          <w:iCs/>
          <w:color w:val="000000"/>
          <w:spacing w:val="5"/>
          <w:sz w:val="19"/>
          <w:szCs w:val="19"/>
          <w:u w:val="single"/>
        </w:rPr>
        <w:t>.</w:t>
      </w:r>
      <w:proofErr w:type="gramEnd"/>
      <w:r>
        <w:rPr>
          <w:i/>
          <w:iCs/>
          <w:color w:val="000000"/>
          <w:spacing w:val="5"/>
          <w:sz w:val="19"/>
          <w:szCs w:val="19"/>
        </w:rPr>
        <w:t xml:space="preserve"> WilliamsSS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1</w:t>
      </w:r>
      <w:r>
        <w:rPr>
          <w:i/>
          <w:iCs/>
          <w:color w:val="000000"/>
          <w:spacing w:val="5"/>
          <w:sz w:val="19"/>
          <w:szCs w:val="19"/>
        </w:rPr>
        <w:t xml:space="preserve">, </w:t>
      </w:r>
      <w:proofErr w:type="spellStart"/>
      <w:r>
        <w:rPr>
          <w:i/>
          <w:iCs/>
          <w:color w:val="000000"/>
          <w:spacing w:val="5"/>
          <w:sz w:val="19"/>
          <w:szCs w:val="19"/>
        </w:rPr>
        <w:t>Peris</w:t>
      </w:r>
      <w:proofErr w:type="spellEnd"/>
      <w:r>
        <w:rPr>
          <w:i/>
          <w:iCs/>
          <w:color w:val="000000"/>
          <w:spacing w:val="5"/>
          <w:sz w:val="19"/>
          <w:szCs w:val="19"/>
        </w:rPr>
        <w:t xml:space="preserve"> MLJPK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1</w:t>
      </w:r>
      <w:r>
        <w:rPr>
          <w:i/>
          <w:iCs/>
          <w:color w:val="000000"/>
          <w:spacing w:val="5"/>
          <w:sz w:val="19"/>
          <w:szCs w:val="19"/>
        </w:rPr>
        <w:t>, deSilvaNR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1</w:t>
      </w:r>
      <w:r>
        <w:rPr>
          <w:i/>
          <w:iCs/>
          <w:color w:val="000000"/>
          <w:spacing w:val="5"/>
          <w:sz w:val="19"/>
          <w:szCs w:val="19"/>
        </w:rPr>
        <w:t>, HapuarachchiHAC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1</w:t>
      </w:r>
      <w:r>
        <w:rPr>
          <w:i/>
          <w:iCs/>
          <w:color w:val="000000"/>
          <w:spacing w:val="5"/>
          <w:sz w:val="19"/>
          <w:szCs w:val="19"/>
        </w:rPr>
        <w:t>, PereraKPJ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1</w:t>
      </w:r>
      <w:r>
        <w:rPr>
          <w:i/>
          <w:iCs/>
          <w:color w:val="000000"/>
          <w:spacing w:val="5"/>
          <w:sz w:val="19"/>
          <w:szCs w:val="19"/>
        </w:rPr>
        <w:t>, KawamuraN</w:t>
      </w:r>
      <w:r>
        <w:rPr>
          <w:i/>
          <w:iCs/>
          <w:color w:val="000000"/>
          <w:spacing w:val="5"/>
          <w:sz w:val="19"/>
          <w:szCs w:val="19"/>
          <w:vertAlign w:val="superscript"/>
        </w:rPr>
        <w:t>2</w:t>
      </w:r>
      <w:r>
        <w:rPr>
          <w:i/>
          <w:iCs/>
          <w:color w:val="000000"/>
          <w:spacing w:val="5"/>
          <w:sz w:val="19"/>
          <w:szCs w:val="19"/>
        </w:rPr>
        <w:t>,</w:t>
      </w:r>
    </w:p>
    <w:p w:rsidR="00000000" w:rsidRDefault="002235AC">
      <w:pPr>
        <w:shd w:val="clear" w:color="auto" w:fill="FFFFFF"/>
        <w:spacing w:line="230" w:lineRule="exact"/>
        <w:ind w:left="22"/>
      </w:pPr>
      <w:proofErr w:type="spellStart"/>
      <w:r>
        <w:rPr>
          <w:i/>
          <w:iCs/>
          <w:color w:val="000000"/>
          <w:spacing w:val="4"/>
          <w:sz w:val="19"/>
          <w:szCs w:val="19"/>
        </w:rPr>
        <w:t>Wickremasinghe</w:t>
      </w:r>
      <w:proofErr w:type="spellEnd"/>
      <w:r>
        <w:rPr>
          <w:i/>
          <w:iCs/>
          <w:color w:val="000000"/>
          <w:spacing w:val="4"/>
          <w:sz w:val="19"/>
          <w:szCs w:val="19"/>
        </w:rPr>
        <w:t xml:space="preserve"> AR</w:t>
      </w:r>
      <w:proofErr w:type="gramStart"/>
      <w:r>
        <w:rPr>
          <w:i/>
          <w:iCs/>
          <w:color w:val="000000"/>
          <w:spacing w:val="4"/>
          <w:sz w:val="19"/>
          <w:szCs w:val="19"/>
          <w:vertAlign w:val="superscript"/>
        </w:rPr>
        <w:t>!</w:t>
      </w:r>
      <w:r>
        <w:rPr>
          <w:i/>
          <w:iCs/>
          <w:color w:val="000000"/>
          <w:spacing w:val="4"/>
          <w:sz w:val="19"/>
          <w:szCs w:val="19"/>
        </w:rPr>
        <w:t>;</w:t>
      </w:r>
      <w:proofErr w:type="gramEnd"/>
      <w:r>
        <w:rPr>
          <w:i/>
          <w:iCs/>
          <w:color w:val="000000"/>
          <w:spacing w:val="4"/>
          <w:sz w:val="19"/>
          <w:szCs w:val="19"/>
        </w:rPr>
        <w:t xml:space="preserve"> for the </w:t>
      </w:r>
      <w:proofErr w:type="spellStart"/>
      <w:r>
        <w:rPr>
          <w:i/>
          <w:iCs/>
          <w:color w:val="000000"/>
          <w:spacing w:val="4"/>
          <w:sz w:val="19"/>
          <w:szCs w:val="19"/>
        </w:rPr>
        <w:t>Ragama</w:t>
      </w:r>
      <w:proofErr w:type="spellEnd"/>
      <w:r>
        <w:rPr>
          <w:i/>
          <w:iCs/>
          <w:color w:val="000000"/>
          <w:spacing w:val="4"/>
          <w:sz w:val="19"/>
          <w:szCs w:val="19"/>
        </w:rPr>
        <w:t xml:space="preserve"> Health Study Group</w:t>
      </w:r>
    </w:p>
    <w:p w:rsidR="00000000" w:rsidRDefault="002235AC">
      <w:pPr>
        <w:shd w:val="clear" w:color="auto" w:fill="FFFFFF"/>
        <w:spacing w:line="230" w:lineRule="exact"/>
        <w:ind w:left="7"/>
      </w:pPr>
      <w:r>
        <w:rPr>
          <w:i/>
          <w:iCs/>
          <w:color w:val="000000"/>
          <w:spacing w:val="-3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3"/>
          <w:sz w:val="21"/>
          <w:szCs w:val="21"/>
        </w:rPr>
        <w:t xml:space="preserve">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</w:p>
    <w:p w:rsidR="00000000" w:rsidRDefault="002235AC">
      <w:pPr>
        <w:shd w:val="clear" w:color="auto" w:fill="FFFFFF"/>
        <w:spacing w:line="230" w:lineRule="exact"/>
      </w:pPr>
      <w:proofErr w:type="gramStart"/>
      <w:r>
        <w:rPr>
          <w:i/>
          <w:iCs/>
          <w:color w:val="000000"/>
          <w:spacing w:val="4"/>
          <w:sz w:val="19"/>
          <w:szCs w:val="19"/>
        </w:rPr>
        <w:t>" National</w:t>
      </w:r>
      <w:proofErr w:type="gramEnd"/>
      <w:r>
        <w:rPr>
          <w:i/>
          <w:iCs/>
          <w:color w:val="000000"/>
          <w:spacing w:val="4"/>
          <w:sz w:val="19"/>
          <w:szCs w:val="19"/>
        </w:rPr>
        <w:t xml:space="preserve"> Institute of Mental Health, Tokyo, Japan</w:t>
      </w:r>
    </w:p>
    <w:p w:rsidR="00000000" w:rsidRDefault="002235AC">
      <w:pPr>
        <w:shd w:val="clear" w:color="auto" w:fill="FFFFFF"/>
        <w:spacing w:before="223" w:line="223" w:lineRule="exact"/>
        <w:ind w:left="7"/>
      </w:pPr>
      <w:r>
        <w:rPr>
          <w:color w:val="000000"/>
          <w:spacing w:val="2"/>
        </w:rPr>
        <w:t>Background: The Kessler psychological distress scale (K10), used in epidemiological surveys, measures</w:t>
      </w:r>
    </w:p>
    <w:p w:rsidR="00000000" w:rsidRDefault="002235AC">
      <w:pPr>
        <w:shd w:val="clear" w:color="auto" w:fill="FFFFFF"/>
        <w:spacing w:line="223" w:lineRule="exact"/>
      </w:pPr>
      <w:proofErr w:type="gramStart"/>
      <w:r>
        <w:rPr>
          <w:color w:val="000000"/>
          <w:spacing w:val="7"/>
        </w:rPr>
        <w:t>psychological</w:t>
      </w:r>
      <w:proofErr w:type="gramEnd"/>
      <w:r>
        <w:rPr>
          <w:color w:val="000000"/>
          <w:spacing w:val="7"/>
        </w:rPr>
        <w:t xml:space="preserve"> distres</w:t>
      </w:r>
      <w:r>
        <w:rPr>
          <w:color w:val="000000"/>
          <w:spacing w:val="7"/>
        </w:rPr>
        <w:t>s. High scores in community surveys are associated with anxiety and affective</w:t>
      </w:r>
    </w:p>
    <w:p w:rsidR="00000000" w:rsidRDefault="002235AC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</w:rPr>
        <w:t>disorders</w:t>
      </w:r>
      <w:proofErr w:type="gramEnd"/>
      <w:r>
        <w:rPr>
          <w:color w:val="000000"/>
        </w:rPr>
        <w:t>, and to a lesser extent, with other psychiatric disorders.</w:t>
      </w:r>
    </w:p>
    <w:p w:rsidR="00000000" w:rsidRDefault="002235AC">
      <w:pPr>
        <w:shd w:val="clear" w:color="auto" w:fill="FFFFFF"/>
        <w:spacing w:line="223" w:lineRule="exact"/>
        <w:ind w:left="7"/>
      </w:pPr>
      <w:r>
        <w:rPr>
          <w:color w:val="000000"/>
          <w:spacing w:val="3"/>
        </w:rPr>
        <w:t>Objective: To validate the Sinhala translations of the long (K10) and short (K.6) versions of the Kessler</w:t>
      </w:r>
    </w:p>
    <w:p w:rsidR="00000000" w:rsidRDefault="002235AC">
      <w:pPr>
        <w:shd w:val="clear" w:color="auto" w:fill="FFFFFF"/>
        <w:spacing w:line="223" w:lineRule="exact"/>
      </w:pPr>
      <w:proofErr w:type="gramStart"/>
      <w:r>
        <w:rPr>
          <w:color w:val="000000"/>
          <w:spacing w:val="1"/>
        </w:rPr>
        <w:t>psy</w:t>
      </w:r>
      <w:r>
        <w:rPr>
          <w:color w:val="000000"/>
          <w:spacing w:val="1"/>
        </w:rPr>
        <w:t>chological</w:t>
      </w:r>
      <w:proofErr w:type="gramEnd"/>
      <w:r>
        <w:rPr>
          <w:color w:val="000000"/>
          <w:spacing w:val="1"/>
        </w:rPr>
        <w:t xml:space="preserve"> distress scale.</w:t>
      </w:r>
    </w:p>
    <w:p w:rsidR="00000000" w:rsidRDefault="002235AC">
      <w:pPr>
        <w:shd w:val="clear" w:color="auto" w:fill="FFFFFF"/>
        <w:spacing w:line="223" w:lineRule="exact"/>
        <w:ind w:left="7"/>
      </w:pPr>
      <w:r>
        <w:rPr>
          <w:color w:val="000000"/>
          <w:spacing w:val="3"/>
        </w:rPr>
        <w:t>Design, setting and methods: The English version of K10 was translated into Sinhala. Content and face</w:t>
      </w:r>
    </w:p>
    <w:p w:rsidR="00000000" w:rsidRDefault="002235AC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  <w:spacing w:val="6"/>
        </w:rPr>
        <w:t>validity</w:t>
      </w:r>
      <w:proofErr w:type="gramEnd"/>
      <w:r>
        <w:rPr>
          <w:color w:val="000000"/>
          <w:spacing w:val="6"/>
        </w:rPr>
        <w:t xml:space="preserve"> was assessed by experts. The scales were pre-tested and modified accordingly. The Sinhala</w:t>
      </w:r>
    </w:p>
    <w:p w:rsidR="00000000" w:rsidRDefault="002235AC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  <w:spacing w:val="3"/>
        </w:rPr>
        <w:t>versions</w:t>
      </w:r>
      <w:proofErr w:type="gramEnd"/>
      <w:r>
        <w:rPr>
          <w:color w:val="000000"/>
          <w:spacing w:val="3"/>
        </w:rPr>
        <w:t xml:space="preserve"> of K6 and K10, and the Structured Clinical Interview Schedule were administered to 20 adults</w:t>
      </w:r>
    </w:p>
    <w:p w:rsidR="00000000" w:rsidRDefault="002235AC">
      <w:pPr>
        <w:shd w:val="clear" w:color="auto" w:fill="FFFFFF"/>
        <w:spacing w:line="223" w:lineRule="exact"/>
        <w:ind w:left="7"/>
      </w:pPr>
      <w:proofErr w:type="gramStart"/>
      <w:r>
        <w:rPr>
          <w:color w:val="000000"/>
          <w:spacing w:val="1"/>
        </w:rPr>
        <w:t>with</w:t>
      </w:r>
      <w:proofErr w:type="gramEnd"/>
      <w:r>
        <w:rPr>
          <w:color w:val="000000"/>
          <w:spacing w:val="1"/>
        </w:rPr>
        <w:t xml:space="preserve"> major psychiatric illnesses diagnosed by two clinicians independently, and to a random sample of 25</w:t>
      </w:r>
    </w:p>
    <w:p w:rsidR="00000000" w:rsidRDefault="002235AC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</w:rPr>
        <w:t>apparently</w:t>
      </w:r>
      <w:proofErr w:type="gramEnd"/>
      <w:r>
        <w:rPr>
          <w:color w:val="000000"/>
        </w:rPr>
        <w:t xml:space="preserve"> normal people from the community. SPSS</w:t>
      </w:r>
      <w:r>
        <w:rPr>
          <w:color w:val="000000"/>
        </w:rPr>
        <w:t xml:space="preserve"> (Version 11) was used for the analysis.</w:t>
      </w:r>
    </w:p>
    <w:p w:rsidR="00000000" w:rsidRDefault="002235AC">
      <w:pPr>
        <w:shd w:val="clear" w:color="auto" w:fill="FFFFFF"/>
        <w:spacing w:line="223" w:lineRule="exact"/>
        <w:ind w:left="7"/>
      </w:pPr>
      <w:r>
        <w:rPr>
          <w:color w:val="000000"/>
          <w:spacing w:val="7"/>
        </w:rPr>
        <w:t>Results: The ROC curve for the K10 contained 96.1% of the area under the curve of 0.961 (95% CI</w:t>
      </w:r>
    </w:p>
    <w:p w:rsidR="00000000" w:rsidRDefault="002235AC">
      <w:pPr>
        <w:shd w:val="clear" w:color="auto" w:fill="FFFFFF"/>
        <w:spacing w:line="223" w:lineRule="exact"/>
        <w:ind w:left="14"/>
      </w:pPr>
      <w:r>
        <w:rPr>
          <w:color w:val="000000"/>
          <w:spacing w:val="1"/>
        </w:rPr>
        <w:t>90.4%-100%). A cut off score of 22 for the K10 yielded a sensitivity of 93.8% and a specificity of 82.6%.</w:t>
      </w:r>
    </w:p>
    <w:p w:rsidR="00000000" w:rsidRDefault="002235AC">
      <w:pPr>
        <w:shd w:val="clear" w:color="auto" w:fill="FFFFFF"/>
        <w:spacing w:line="223" w:lineRule="exact"/>
        <w:ind w:left="7"/>
      </w:pPr>
      <w:r>
        <w:rPr>
          <w:color w:val="000000"/>
          <w:spacing w:val="1"/>
        </w:rPr>
        <w:t>The ROC curve for the K6 contained 90.1% (95% CI 80.5% - 99.7%) of the area under the curve. For the</w:t>
      </w:r>
    </w:p>
    <w:p w:rsidR="00000000" w:rsidRDefault="002235AC">
      <w:pPr>
        <w:shd w:val="clear" w:color="auto" w:fill="FFFFFF"/>
        <w:spacing w:line="223" w:lineRule="exact"/>
        <w:ind w:left="7"/>
      </w:pPr>
      <w:r>
        <w:rPr>
          <w:color w:val="000000"/>
        </w:rPr>
        <w:t xml:space="preserve">K6, a cut off score of 13 gave a sensitivity of 88.2% and a specificity </w:t>
      </w:r>
      <w:r>
        <w:rPr>
          <w:i/>
          <w:iCs/>
          <w:color w:val="000000"/>
        </w:rPr>
        <w:t xml:space="preserve">of 72%,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total number of days that</w:t>
      </w:r>
    </w:p>
    <w:p w:rsidR="00000000" w:rsidRDefault="002235AC">
      <w:pPr>
        <w:shd w:val="clear" w:color="auto" w:fill="FFFFFF"/>
        <w:spacing w:line="223" w:lineRule="exact"/>
        <w:ind w:left="14"/>
      </w:pPr>
      <w:proofErr w:type="gramStart"/>
      <w:r>
        <w:rPr>
          <w:color w:val="000000"/>
          <w:spacing w:val="1"/>
        </w:rPr>
        <w:t>the</w:t>
      </w:r>
      <w:proofErr w:type="gramEnd"/>
      <w:r>
        <w:rPr>
          <w:color w:val="000000"/>
          <w:spacing w:val="1"/>
        </w:rPr>
        <w:t xml:space="preserve"> patient could not attend to regular work </w:t>
      </w:r>
      <w:r>
        <w:rPr>
          <w:color w:val="000000"/>
          <w:spacing w:val="1"/>
        </w:rPr>
        <w:t>and responsibilities was significantly correlated with both the</w:t>
      </w:r>
    </w:p>
    <w:p w:rsidR="00000000" w:rsidRDefault="002235AC">
      <w:pPr>
        <w:shd w:val="clear" w:color="auto" w:fill="FFFFFF"/>
        <w:spacing w:before="7" w:line="223" w:lineRule="exact"/>
        <w:ind w:left="14"/>
      </w:pPr>
      <w:r>
        <w:rPr>
          <w:color w:val="000000"/>
          <w:spacing w:val="2"/>
        </w:rPr>
        <w:t>K10 (p=0.041) andK6 (p=0.023).</w:t>
      </w:r>
    </w:p>
    <w:p w:rsidR="00000000" w:rsidRDefault="002235AC">
      <w:pPr>
        <w:shd w:val="clear" w:color="auto" w:fill="FFFFFF"/>
        <w:spacing w:line="223" w:lineRule="exact"/>
        <w:ind w:left="14"/>
      </w:pPr>
      <w:r>
        <w:rPr>
          <w:color w:val="000000"/>
        </w:rPr>
        <w:t>Conclusion: The Sinhala version of the K10 and K6 questionnaires can be used to screen for psychological</w:t>
      </w:r>
    </w:p>
    <w:p w:rsidR="002235AC" w:rsidRDefault="002235AC">
      <w:pPr>
        <w:shd w:val="clear" w:color="auto" w:fill="FFFFFF"/>
        <w:spacing w:line="223" w:lineRule="exact"/>
        <w:ind w:left="22"/>
      </w:pPr>
      <w:proofErr w:type="gramStart"/>
      <w:r>
        <w:rPr>
          <w:color w:val="000000"/>
          <w:spacing w:val="-3"/>
        </w:rPr>
        <w:t>distress</w:t>
      </w:r>
      <w:proofErr w:type="gramEnd"/>
      <w:r>
        <w:rPr>
          <w:color w:val="000000"/>
          <w:spacing w:val="-3"/>
        </w:rPr>
        <w:t>.</w:t>
      </w:r>
    </w:p>
    <w:sectPr w:rsidR="002235AC">
      <w:type w:val="continuous"/>
      <w:pgSz w:w="12240" w:h="15840"/>
      <w:pgMar w:top="1440" w:right="2639" w:bottom="720" w:left="9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5AC"/>
    <w:rsid w:val="0022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2015-10-07T07:06:00Z</dcterms:created>
  <dcterms:modified xsi:type="dcterms:W3CDTF">2015-10-07T07:06:00Z</dcterms:modified>
</cp:coreProperties>
</file>