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E3C">
      <w:pPr>
        <w:shd w:val="clear" w:color="auto" w:fill="FFFFFF"/>
        <w:spacing w:line="223" w:lineRule="exact"/>
      </w:pPr>
      <w:r>
        <w:rPr>
          <w:color w:val="000000"/>
          <w:spacing w:val="5"/>
        </w:rPr>
        <w:t xml:space="preserve">OP 55:  A descriptive study of 63 patients with </w:t>
      </w:r>
      <w:proofErr w:type="spellStart"/>
      <w:r>
        <w:rPr>
          <w:color w:val="000000"/>
          <w:spacing w:val="5"/>
        </w:rPr>
        <w:t>rickettsial</w:t>
      </w:r>
      <w:proofErr w:type="spellEnd"/>
      <w:r>
        <w:rPr>
          <w:color w:val="000000"/>
          <w:spacing w:val="5"/>
        </w:rPr>
        <w:t xml:space="preserve"> infections: reasons for delay in the diagnosis</w:t>
      </w:r>
    </w:p>
    <w:p w:rsidR="00000000" w:rsidRDefault="00B12E3C">
      <w:pPr>
        <w:shd w:val="clear" w:color="auto" w:fill="FFFFFF"/>
        <w:spacing w:line="223" w:lineRule="exact"/>
        <w:ind w:left="684" w:right="1037"/>
      </w:pPr>
      <w:proofErr w:type="spellStart"/>
      <w:r>
        <w:rPr>
          <w:i/>
          <w:iCs/>
          <w:color w:val="000000"/>
          <w:spacing w:val="-6"/>
          <w:sz w:val="21"/>
          <w:szCs w:val="21"/>
          <w:u w:val="single"/>
        </w:rPr>
        <w:t>Premaratna</w:t>
      </w:r>
      <w:proofErr w:type="spellEnd"/>
      <w:r>
        <w:rPr>
          <w:i/>
          <w:iCs/>
          <w:color w:val="000000"/>
          <w:spacing w:val="-6"/>
          <w:sz w:val="21"/>
          <w:szCs w:val="21"/>
          <w:u w:val="single"/>
        </w:rPr>
        <w:t xml:space="preserve"> R</w:t>
      </w:r>
      <w:r>
        <w:rPr>
          <w:i/>
          <w:iCs/>
          <w:color w:val="000000"/>
          <w:spacing w:val="-6"/>
          <w:sz w:val="21"/>
          <w:szCs w:val="21"/>
          <w:u w:val="single"/>
          <w:vertAlign w:val="superscript"/>
        </w:rPr>
        <w:t>!</w:t>
      </w:r>
      <w:r>
        <w:rPr>
          <w:i/>
          <w:iCs/>
          <w:color w:val="000000"/>
          <w:spacing w:val="-6"/>
          <w:sz w:val="21"/>
          <w:szCs w:val="21"/>
          <w:u w:val="single"/>
        </w:rPr>
        <w:t>,</w:t>
      </w:r>
      <w:r>
        <w:rPr>
          <w:i/>
          <w:iCs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Chandrasena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TGAN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>2</w:t>
      </w:r>
      <w:r>
        <w:rPr>
          <w:i/>
          <w:iCs/>
          <w:color w:val="000000"/>
          <w:spacing w:val="-6"/>
          <w:sz w:val="21"/>
          <w:szCs w:val="21"/>
        </w:rPr>
        <w:t>, Bailey MS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6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Loftis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AD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>3</w:t>
      </w:r>
      <w:r>
        <w:rPr>
          <w:i/>
          <w:iCs/>
          <w:color w:val="000000"/>
          <w:spacing w:val="-6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Dasch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GA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>3</w:t>
      </w:r>
      <w:r>
        <w:rPr>
          <w:i/>
          <w:iCs/>
          <w:color w:val="000000"/>
          <w:spacing w:val="-6"/>
          <w:sz w:val="21"/>
          <w:szCs w:val="21"/>
        </w:rPr>
        <w:t>, de Silva HJ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 xml:space="preserve">1 </w:t>
      </w:r>
      <w:r>
        <w:rPr>
          <w:i/>
          <w:iCs/>
          <w:color w:val="000000"/>
          <w:spacing w:val="-4"/>
          <w:sz w:val="21"/>
          <w:szCs w:val="21"/>
        </w:rPr>
        <w:t>Departments of</w:t>
      </w:r>
      <w:r>
        <w:rPr>
          <w:i/>
          <w:iCs/>
          <w:color w:val="000000"/>
          <w:spacing w:val="-4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4"/>
          <w:sz w:val="21"/>
          <w:szCs w:val="21"/>
        </w:rPr>
        <w:t xml:space="preserve"> Medicine and</w:t>
      </w:r>
      <w:r>
        <w:rPr>
          <w:i/>
          <w:iCs/>
          <w:color w:val="000000"/>
          <w:spacing w:val="-4"/>
          <w:sz w:val="21"/>
          <w:szCs w:val="21"/>
          <w:vertAlign w:val="superscript"/>
        </w:rPr>
        <w:t>2</w:t>
      </w:r>
      <w:r>
        <w:rPr>
          <w:i/>
          <w:i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Parasitology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, Faculty of Medicine, </w:t>
      </w:r>
      <w:r>
        <w:rPr>
          <w:i/>
          <w:iCs/>
          <w:color w:val="000000"/>
          <w:spacing w:val="-4"/>
          <w:sz w:val="21"/>
          <w:szCs w:val="21"/>
        </w:rPr>
        <w:t xml:space="preserve">University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Viral and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Rickettsial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Zoonoses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Branch,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Centres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for Disease Control and Prevention, USA</w:t>
      </w:r>
    </w:p>
    <w:p w:rsidR="00000000" w:rsidRDefault="00B12E3C">
      <w:pPr>
        <w:shd w:val="clear" w:color="auto" w:fill="FFFFFF"/>
        <w:spacing w:before="230" w:line="223" w:lineRule="exact"/>
        <w:ind w:left="684"/>
        <w:jc w:val="both"/>
      </w:pPr>
      <w:r>
        <w:rPr>
          <w:color w:val="000000"/>
          <w:spacing w:val="2"/>
        </w:rPr>
        <w:t xml:space="preserve">Background: Most patients with </w:t>
      </w:r>
      <w:proofErr w:type="spellStart"/>
      <w:r>
        <w:rPr>
          <w:color w:val="000000"/>
          <w:spacing w:val="2"/>
        </w:rPr>
        <w:t>rickettsial</w:t>
      </w:r>
      <w:proofErr w:type="spellEnd"/>
      <w:r>
        <w:rPr>
          <w:color w:val="000000"/>
          <w:spacing w:val="2"/>
        </w:rPr>
        <w:t xml:space="preserve"> infections present to hospital as cases of "febrile illness of </w:t>
      </w:r>
      <w:r>
        <w:rPr>
          <w:color w:val="000000"/>
        </w:rPr>
        <w:t>unknown origin". The delay in diagnosis m</w:t>
      </w:r>
      <w:r>
        <w:rPr>
          <w:color w:val="000000"/>
        </w:rPr>
        <w:t xml:space="preserve">ay result in severe complications. </w:t>
      </w:r>
      <w:r>
        <w:rPr>
          <w:color w:val="000000"/>
          <w:spacing w:val="1"/>
        </w:rPr>
        <w:t xml:space="preserve">Objectives: To determine reasons for the delay in diagnosis of </w:t>
      </w:r>
      <w:proofErr w:type="spellStart"/>
      <w:r>
        <w:rPr>
          <w:color w:val="000000"/>
          <w:spacing w:val="1"/>
        </w:rPr>
        <w:t>rickettsial</w:t>
      </w:r>
      <w:proofErr w:type="spellEnd"/>
      <w:r>
        <w:rPr>
          <w:color w:val="000000"/>
          <w:spacing w:val="1"/>
        </w:rPr>
        <w:t xml:space="preserve"> infections. Design, setting and methods: Patients admitted to the University Medical Unit, Colombo North Teaching </w:t>
      </w:r>
      <w:r>
        <w:rPr>
          <w:color w:val="000000"/>
        </w:rPr>
        <w:t xml:space="preserve">Hospital, </w:t>
      </w:r>
      <w:proofErr w:type="spellStart"/>
      <w:proofErr w:type="gramStart"/>
      <w:r>
        <w:rPr>
          <w:color w:val="000000"/>
        </w:rPr>
        <w:t>Ragama</w:t>
      </w:r>
      <w:proofErr w:type="spellEnd"/>
      <w:proofErr w:type="gramEnd"/>
      <w:r>
        <w:rPr>
          <w:color w:val="000000"/>
        </w:rPr>
        <w:t xml:space="preserve"> from November 2</w:t>
      </w:r>
      <w:r>
        <w:rPr>
          <w:color w:val="000000"/>
        </w:rPr>
        <w:t xml:space="preserve">004 and diagnosed as having </w:t>
      </w:r>
      <w:proofErr w:type="spellStart"/>
      <w:r>
        <w:rPr>
          <w:color w:val="000000"/>
        </w:rPr>
        <w:t>rickettsial</w:t>
      </w:r>
      <w:proofErr w:type="spellEnd"/>
      <w:r>
        <w:rPr>
          <w:color w:val="000000"/>
        </w:rPr>
        <w:t xml:space="preserve"> infections and junior medical staff (JMS) were interviewed retrospectively to find possible reasons for delay in diagnosis. </w:t>
      </w:r>
      <w:r>
        <w:rPr>
          <w:color w:val="000000"/>
          <w:spacing w:val="4"/>
        </w:rPr>
        <w:t>Results: 63 patients [31 males; mean age 36 years (SD</w:t>
      </w:r>
      <w:proofErr w:type="gramStart"/>
      <w:r>
        <w:rPr>
          <w:color w:val="000000"/>
          <w:spacing w:val="4"/>
        </w:rPr>
        <w:t>:12.2</w:t>
      </w:r>
      <w:proofErr w:type="gramEnd"/>
      <w:r>
        <w:rPr>
          <w:color w:val="000000"/>
          <w:spacing w:val="4"/>
        </w:rPr>
        <w:t>)] were recruited. (39 and 24 were</w:t>
      </w:r>
      <w:r>
        <w:rPr>
          <w:color w:val="000000"/>
          <w:spacing w:val="4"/>
        </w:rPr>
        <w:t xml:space="preserve"> later confirmed for </w:t>
      </w:r>
      <w:proofErr w:type="spellStart"/>
      <w:r>
        <w:rPr>
          <w:i/>
          <w:iCs/>
          <w:color w:val="000000"/>
          <w:spacing w:val="4"/>
        </w:rPr>
        <w:t>Orientia</w:t>
      </w:r>
      <w:proofErr w:type="spellEnd"/>
      <w:r>
        <w:rPr>
          <w:i/>
          <w:iCs/>
          <w:color w:val="000000"/>
          <w:spacing w:val="4"/>
        </w:rPr>
        <w:t xml:space="preserve"> </w:t>
      </w:r>
      <w:proofErr w:type="spellStart"/>
      <w:r>
        <w:rPr>
          <w:i/>
          <w:iCs/>
          <w:color w:val="000000"/>
          <w:spacing w:val="4"/>
        </w:rPr>
        <w:t>tsutsugamushi</w:t>
      </w:r>
      <w:proofErr w:type="spellEnd"/>
      <w:r>
        <w:rPr>
          <w:i/>
          <w:iCs/>
          <w:color w:val="000000"/>
          <w:spacing w:val="4"/>
        </w:rPr>
        <w:t xml:space="preserve">, R. </w:t>
      </w:r>
      <w:proofErr w:type="spellStart"/>
      <w:r>
        <w:rPr>
          <w:i/>
          <w:iCs/>
          <w:color w:val="000000"/>
          <w:spacing w:val="4"/>
        </w:rPr>
        <w:t>conorii</w:t>
      </w:r>
      <w:proofErr w:type="spellEnd"/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infection </w:t>
      </w:r>
      <w:proofErr w:type="spellStart"/>
      <w:r>
        <w:rPr>
          <w:color w:val="000000"/>
          <w:spacing w:val="4"/>
        </w:rPr>
        <w:t>byiFA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titre</w:t>
      </w:r>
      <w:proofErr w:type="spellEnd"/>
      <w:r>
        <w:rPr>
          <w:color w:val="000000"/>
          <w:spacing w:val="4"/>
        </w:rPr>
        <w:t xml:space="preserve"> &gt;1:128) The mean duration of </w:t>
      </w:r>
      <w:r>
        <w:rPr>
          <w:color w:val="000000"/>
        </w:rPr>
        <w:t>illness on admission was 9 days (SD</w:t>
      </w:r>
      <w:proofErr w:type="gramStart"/>
      <w:r>
        <w:rPr>
          <w:color w:val="000000"/>
        </w:rPr>
        <w:t>:2.2</w:t>
      </w:r>
      <w:proofErr w:type="gramEnd"/>
      <w:r>
        <w:rPr>
          <w:color w:val="000000"/>
        </w:rPr>
        <w:t xml:space="preserve">). Clinical features on admission were fever 63(100%), headache </w:t>
      </w:r>
      <w:r>
        <w:rPr>
          <w:color w:val="000000"/>
          <w:spacing w:val="7"/>
        </w:rPr>
        <w:t xml:space="preserve">56(89%), </w:t>
      </w:r>
      <w:proofErr w:type="spellStart"/>
      <w:r>
        <w:rPr>
          <w:color w:val="000000"/>
          <w:spacing w:val="7"/>
        </w:rPr>
        <w:t>lymphadenopathy</w:t>
      </w:r>
      <w:proofErr w:type="spellEnd"/>
      <w:r>
        <w:rPr>
          <w:color w:val="000000"/>
          <w:spacing w:val="7"/>
        </w:rPr>
        <w:t xml:space="preserve"> 42(67%), </w:t>
      </w:r>
      <w:proofErr w:type="spellStart"/>
      <w:r>
        <w:rPr>
          <w:color w:val="000000"/>
          <w:spacing w:val="7"/>
        </w:rPr>
        <w:t>eschar</w:t>
      </w:r>
      <w:proofErr w:type="spellEnd"/>
      <w:r>
        <w:rPr>
          <w:color w:val="000000"/>
          <w:spacing w:val="7"/>
        </w:rPr>
        <w:t xml:space="preserve"> 42(67</w:t>
      </w:r>
      <w:r>
        <w:rPr>
          <w:color w:val="000000"/>
          <w:spacing w:val="7"/>
        </w:rPr>
        <w:t xml:space="preserve">%), rash 12(19%), </w:t>
      </w:r>
      <w:proofErr w:type="spellStart"/>
      <w:r>
        <w:rPr>
          <w:color w:val="000000"/>
          <w:spacing w:val="7"/>
        </w:rPr>
        <w:t>hepatomegaly</w:t>
      </w:r>
      <w:proofErr w:type="spellEnd"/>
      <w:r>
        <w:rPr>
          <w:color w:val="000000"/>
          <w:spacing w:val="7"/>
        </w:rPr>
        <w:t xml:space="preserve"> 22(34%), </w:t>
      </w:r>
      <w:proofErr w:type="spellStart"/>
      <w:r>
        <w:rPr>
          <w:color w:val="000000"/>
          <w:spacing w:val="4"/>
        </w:rPr>
        <w:t>splenomegaly</w:t>
      </w:r>
      <w:proofErr w:type="spellEnd"/>
      <w:r>
        <w:rPr>
          <w:color w:val="000000"/>
          <w:spacing w:val="4"/>
        </w:rPr>
        <w:t xml:space="preserve"> 17(26%), deafness 6(9%), and tinnitus 8(12%). All 49 patients who could recall pre</w:t>
      </w:r>
      <w:r>
        <w:rPr>
          <w:color w:val="000000"/>
          <w:spacing w:val="4"/>
        </w:rPr>
        <w:softHyphen/>
      </w:r>
      <w:r>
        <w:rPr>
          <w:color w:val="000000"/>
        </w:rPr>
        <w:t>admission medication said they had not been given anti-</w:t>
      </w:r>
      <w:proofErr w:type="spellStart"/>
      <w:r>
        <w:rPr>
          <w:color w:val="000000"/>
        </w:rPr>
        <w:t>rickettsial</w:t>
      </w:r>
      <w:proofErr w:type="spellEnd"/>
      <w:r>
        <w:rPr>
          <w:color w:val="000000"/>
        </w:rPr>
        <w:t xml:space="preserve"> antibiotics. Interview of JMS (after-admission) showe</w:t>
      </w:r>
      <w:r>
        <w:rPr>
          <w:color w:val="000000"/>
        </w:rPr>
        <w:t xml:space="preserve">d that </w:t>
      </w:r>
      <w:proofErr w:type="spellStart"/>
      <w:r>
        <w:rPr>
          <w:color w:val="000000"/>
        </w:rPr>
        <w:t>rickettsial</w:t>
      </w:r>
      <w:proofErr w:type="spellEnd"/>
      <w:r>
        <w:rPr>
          <w:color w:val="000000"/>
        </w:rPr>
        <w:t xml:space="preserve"> infections were not considered in the differential diagnosis of 38(60%) </w:t>
      </w:r>
      <w:r>
        <w:rPr>
          <w:color w:val="000000"/>
          <w:spacing w:val="3"/>
        </w:rPr>
        <w:t xml:space="preserve">patients. The other 25 were examined for an </w:t>
      </w:r>
      <w:proofErr w:type="spellStart"/>
      <w:r>
        <w:rPr>
          <w:color w:val="000000"/>
          <w:spacing w:val="3"/>
        </w:rPr>
        <w:t>eschar</w:t>
      </w:r>
      <w:proofErr w:type="spellEnd"/>
      <w:r>
        <w:rPr>
          <w:color w:val="000000"/>
          <w:spacing w:val="3"/>
        </w:rPr>
        <w:t xml:space="preserve">: missed in 10(40%), detected in 9(36%) but not </w:t>
      </w:r>
      <w:r>
        <w:rPr>
          <w:color w:val="000000"/>
        </w:rPr>
        <w:t>interpreted correctly in 7 of the 9 (63%). Rash was detected in all</w:t>
      </w:r>
      <w:r>
        <w:rPr>
          <w:color w:val="000000"/>
        </w:rPr>
        <w:t xml:space="preserve"> 12 patients who had it, but diagnosis was not considered in 10(83%).</w:t>
      </w:r>
    </w:p>
    <w:p w:rsidR="00B12E3C" w:rsidRDefault="00B12E3C">
      <w:pPr>
        <w:shd w:val="clear" w:color="auto" w:fill="FFFFFF"/>
        <w:spacing w:line="223" w:lineRule="exact"/>
        <w:ind w:left="698"/>
      </w:pPr>
      <w:r>
        <w:rPr>
          <w:color w:val="000000"/>
          <w:spacing w:val="8"/>
        </w:rPr>
        <w:t xml:space="preserve">Conclusion: The main reasons for the delay in diagnosis seem to be lack of awareness of the high </w:t>
      </w:r>
      <w:r>
        <w:rPr>
          <w:color w:val="000000"/>
        </w:rPr>
        <w:t xml:space="preserve">prevalence of </w:t>
      </w:r>
      <w:proofErr w:type="spellStart"/>
      <w:r>
        <w:rPr>
          <w:color w:val="000000"/>
        </w:rPr>
        <w:t>rickettsial</w:t>
      </w:r>
      <w:proofErr w:type="spellEnd"/>
      <w:r>
        <w:rPr>
          <w:color w:val="000000"/>
        </w:rPr>
        <w:t xml:space="preserve"> infections and poor knowledge of clinical features among junior</w:t>
      </w:r>
      <w:r>
        <w:rPr>
          <w:color w:val="000000"/>
        </w:rPr>
        <w:t xml:space="preserve"> medical staff.</w:t>
      </w:r>
    </w:p>
    <w:sectPr w:rsidR="00B12E3C">
      <w:type w:val="continuous"/>
      <w:pgSz w:w="12240" w:h="15840"/>
      <w:pgMar w:top="1440" w:right="2495" w:bottom="720" w:left="3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2E3C"/>
    <w:rsid w:val="00B1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2015-10-07T06:51:00Z</dcterms:created>
  <dcterms:modified xsi:type="dcterms:W3CDTF">2015-10-07T06:51:00Z</dcterms:modified>
</cp:coreProperties>
</file>