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725E">
      <w:pPr>
        <w:shd w:val="clear" w:color="auto" w:fill="FFFFFF"/>
        <w:spacing w:line="223" w:lineRule="exact"/>
        <w:ind w:left="670" w:hanging="670"/>
      </w:pPr>
      <w:r>
        <w:rPr>
          <w:b/>
          <w:bCs/>
          <w:color w:val="000000"/>
          <w:spacing w:val="2"/>
        </w:rPr>
        <w:t xml:space="preserve">OP 50:  Microscopic colitis not otherwise specified (NOS) in patients with </w:t>
      </w:r>
      <w:proofErr w:type="spellStart"/>
      <w:r>
        <w:rPr>
          <w:b/>
          <w:bCs/>
          <w:color w:val="000000"/>
          <w:spacing w:val="2"/>
        </w:rPr>
        <w:t>diarrhoea</w:t>
      </w:r>
      <w:proofErr w:type="spellEnd"/>
      <w:r>
        <w:rPr>
          <w:b/>
          <w:bCs/>
          <w:color w:val="000000"/>
          <w:spacing w:val="2"/>
        </w:rPr>
        <w:t xml:space="preserve"> predominant IBS in a </w:t>
      </w:r>
      <w:r>
        <w:rPr>
          <w:b/>
          <w:bCs/>
          <w:color w:val="000000"/>
          <w:spacing w:val="1"/>
        </w:rPr>
        <w:t>tropical setting</w:t>
      </w:r>
    </w:p>
    <w:p w:rsidR="00000000" w:rsidRDefault="00A8725E">
      <w:pPr>
        <w:shd w:val="clear" w:color="auto" w:fill="FFFFFF"/>
        <w:spacing w:line="223" w:lineRule="exact"/>
        <w:ind w:left="670"/>
      </w:pPr>
      <w:proofErr w:type="gramStart"/>
      <w:r>
        <w:rPr>
          <w:i/>
          <w:iCs/>
          <w:color w:val="000000"/>
          <w:spacing w:val="2"/>
          <w:u w:val="single"/>
        </w:rPr>
        <w:t>De Silva AP''.</w:t>
      </w:r>
      <w:proofErr w:type="gramEnd"/>
      <w:r>
        <w:rPr>
          <w:i/>
          <w:iCs/>
          <w:color w:val="000000"/>
          <w:spacing w:val="2"/>
        </w:rPr>
        <w:t xml:space="preserve"> </w:t>
      </w:r>
      <w:proofErr w:type="spellStart"/>
      <w:r>
        <w:rPr>
          <w:i/>
          <w:iCs/>
          <w:color w:val="000000"/>
          <w:spacing w:val="2"/>
        </w:rPr>
        <w:t>Dassanayake</w:t>
      </w:r>
      <w:proofErr w:type="spellEnd"/>
      <w:r>
        <w:rPr>
          <w:i/>
          <w:iCs/>
          <w:color w:val="000000"/>
          <w:spacing w:val="2"/>
        </w:rPr>
        <w:t xml:space="preserve"> AS</w:t>
      </w:r>
      <w:r>
        <w:rPr>
          <w:i/>
          <w:iCs/>
          <w:color w:val="000000"/>
          <w:spacing w:val="2"/>
          <w:vertAlign w:val="superscript"/>
        </w:rPr>
        <w:t>2</w:t>
      </w:r>
      <w:r>
        <w:rPr>
          <w:i/>
          <w:iCs/>
          <w:color w:val="000000"/>
          <w:spacing w:val="2"/>
        </w:rPr>
        <w:t xml:space="preserve">, </w:t>
      </w:r>
      <w:proofErr w:type="spellStart"/>
      <w:r>
        <w:rPr>
          <w:i/>
          <w:iCs/>
          <w:color w:val="000000"/>
          <w:spacing w:val="2"/>
        </w:rPr>
        <w:t>Hewavisenthi</w:t>
      </w:r>
      <w:proofErr w:type="spellEnd"/>
      <w:r>
        <w:rPr>
          <w:i/>
          <w:iCs/>
          <w:color w:val="000000"/>
          <w:spacing w:val="2"/>
        </w:rPr>
        <w:t xml:space="preserve"> f, </w:t>
      </w:r>
      <w:proofErr w:type="spellStart"/>
      <w:r>
        <w:rPr>
          <w:i/>
          <w:iCs/>
          <w:color w:val="000000"/>
          <w:spacing w:val="2"/>
        </w:rPr>
        <w:t>Liyanage</w:t>
      </w:r>
      <w:proofErr w:type="spellEnd"/>
      <w:r>
        <w:rPr>
          <w:i/>
          <w:iCs/>
          <w:color w:val="000000"/>
          <w:spacing w:val="2"/>
        </w:rPr>
        <w:t xml:space="preserve"> DLMN</w:t>
      </w:r>
      <w:proofErr w:type="gramStart"/>
      <w:r>
        <w:rPr>
          <w:i/>
          <w:iCs/>
          <w:color w:val="000000"/>
          <w:spacing w:val="2"/>
          <w:vertAlign w:val="superscript"/>
        </w:rPr>
        <w:t>!</w:t>
      </w:r>
      <w:r>
        <w:rPr>
          <w:i/>
          <w:iCs/>
          <w:color w:val="000000"/>
          <w:spacing w:val="2"/>
        </w:rPr>
        <w:t>,</w:t>
      </w:r>
      <w:proofErr w:type="gramEnd"/>
      <w:r>
        <w:rPr>
          <w:i/>
          <w:iCs/>
          <w:color w:val="000000"/>
          <w:spacing w:val="2"/>
        </w:rPr>
        <w:t xml:space="preserve"> </w:t>
      </w:r>
      <w:proofErr w:type="spellStart"/>
      <w:r>
        <w:rPr>
          <w:i/>
          <w:iCs/>
          <w:color w:val="000000"/>
          <w:spacing w:val="2"/>
        </w:rPr>
        <w:t>Dissanayake</w:t>
      </w:r>
      <w:proofErr w:type="spellEnd"/>
      <w:r>
        <w:rPr>
          <w:i/>
          <w:iCs/>
          <w:color w:val="000000"/>
          <w:spacing w:val="2"/>
        </w:rPr>
        <w:t xml:space="preserve"> TGI</w:t>
      </w:r>
      <w:r>
        <w:rPr>
          <w:i/>
          <w:iCs/>
          <w:color w:val="000000"/>
          <w:spacing w:val="2"/>
          <w:vertAlign w:val="superscript"/>
        </w:rPr>
        <w:t>!</w:t>
      </w:r>
      <w:r>
        <w:rPr>
          <w:i/>
          <w:iCs/>
          <w:color w:val="000000"/>
          <w:spacing w:val="2"/>
        </w:rPr>
        <w:t xml:space="preserve">, </w:t>
      </w:r>
      <w:proofErr w:type="spellStart"/>
      <w:r>
        <w:rPr>
          <w:i/>
          <w:iCs/>
          <w:color w:val="000000"/>
          <w:spacing w:val="2"/>
        </w:rPr>
        <w:t>Duminda</w:t>
      </w:r>
      <w:proofErr w:type="spellEnd"/>
      <w:r>
        <w:rPr>
          <w:i/>
          <w:iCs/>
          <w:color w:val="000000"/>
          <w:spacing w:val="2"/>
        </w:rPr>
        <w:t xml:space="preserve"> HKKT,</w:t>
      </w:r>
    </w:p>
    <w:p w:rsidR="00000000" w:rsidRDefault="00A8725E">
      <w:pPr>
        <w:shd w:val="clear" w:color="auto" w:fill="FFFFFF"/>
        <w:spacing w:line="223" w:lineRule="exact"/>
        <w:ind w:left="670"/>
      </w:pPr>
      <w:proofErr w:type="gramStart"/>
      <w:r>
        <w:rPr>
          <w:i/>
          <w:iCs/>
          <w:color w:val="000000"/>
          <w:spacing w:val="-3"/>
        </w:rPr>
        <w:t>de</w:t>
      </w:r>
      <w:proofErr w:type="gramEnd"/>
      <w:r>
        <w:rPr>
          <w:i/>
          <w:iCs/>
          <w:color w:val="000000"/>
          <w:spacing w:val="-3"/>
        </w:rPr>
        <w:t xml:space="preserve"> Silva HJ</w:t>
      </w:r>
      <w:r>
        <w:rPr>
          <w:i/>
          <w:iCs/>
          <w:color w:val="000000"/>
          <w:spacing w:val="-3"/>
          <w:vertAlign w:val="superscript"/>
        </w:rPr>
        <w:t>1</w:t>
      </w:r>
    </w:p>
    <w:p w:rsidR="00000000" w:rsidRDefault="00A8725E">
      <w:pPr>
        <w:shd w:val="clear" w:color="auto" w:fill="FFFFFF"/>
        <w:spacing w:line="223" w:lineRule="exact"/>
        <w:ind w:left="677"/>
      </w:pPr>
      <w:r>
        <w:rPr>
          <w:i/>
          <w:iCs/>
          <w:color w:val="000000"/>
          <w:spacing w:val="2"/>
        </w:rPr>
        <w:t xml:space="preserve">Departments of Medicine, ~ Pharmacology </w:t>
      </w:r>
      <w:proofErr w:type="gramStart"/>
      <w:r>
        <w:rPr>
          <w:i/>
          <w:iCs/>
          <w:color w:val="000000"/>
          <w:spacing w:val="2"/>
        </w:rPr>
        <w:t>and  Pathology</w:t>
      </w:r>
      <w:proofErr w:type="gramEnd"/>
      <w:r>
        <w:rPr>
          <w:i/>
          <w:iCs/>
          <w:color w:val="000000"/>
          <w:spacing w:val="2"/>
        </w:rPr>
        <w:t xml:space="preserve">, Faculty of Medicine, University of </w:t>
      </w:r>
      <w:proofErr w:type="spellStart"/>
      <w:r>
        <w:rPr>
          <w:i/>
          <w:iCs/>
          <w:color w:val="000000"/>
          <w:spacing w:val="2"/>
        </w:rPr>
        <w:t>Kelaniya</w:t>
      </w:r>
      <w:proofErr w:type="spellEnd"/>
    </w:p>
    <w:p w:rsidR="00000000" w:rsidRDefault="00A8725E">
      <w:pPr>
        <w:shd w:val="clear" w:color="auto" w:fill="FFFFFF"/>
        <w:spacing w:before="230" w:line="223" w:lineRule="exact"/>
        <w:ind w:left="677"/>
      </w:pPr>
      <w:r>
        <w:rPr>
          <w:b/>
          <w:bCs/>
          <w:color w:val="000000"/>
        </w:rPr>
        <w:t xml:space="preserve">Background: </w:t>
      </w:r>
      <w:proofErr w:type="spellStart"/>
      <w:r>
        <w:rPr>
          <w:color w:val="000000"/>
        </w:rPr>
        <w:t>Coionoscopy</w:t>
      </w:r>
      <w:proofErr w:type="spellEnd"/>
      <w:r>
        <w:rPr>
          <w:color w:val="000000"/>
        </w:rPr>
        <w:t xml:space="preserve"> is not recommended in IBS unless there are alarm symptoms. However, studies</w:t>
      </w:r>
    </w:p>
    <w:p w:rsidR="00000000" w:rsidRDefault="00A8725E">
      <w:pPr>
        <w:shd w:val="clear" w:color="auto" w:fill="FFFFFF"/>
        <w:spacing w:line="223" w:lineRule="exact"/>
        <w:ind w:left="677"/>
      </w:pPr>
      <w:proofErr w:type="gramStart"/>
      <w:r>
        <w:rPr>
          <w:color w:val="000000"/>
          <w:spacing w:val="4"/>
        </w:rPr>
        <w:t>have</w:t>
      </w:r>
      <w:proofErr w:type="gramEnd"/>
      <w:r>
        <w:rPr>
          <w:color w:val="000000"/>
          <w:spacing w:val="4"/>
        </w:rPr>
        <w:t xml:space="preserve"> shown that microscopic colitis and low grade inflam</w:t>
      </w:r>
      <w:r>
        <w:rPr>
          <w:color w:val="000000"/>
          <w:spacing w:val="4"/>
        </w:rPr>
        <w:t>matory bowel disease (IBD) can mimic IBS.</w:t>
      </w:r>
    </w:p>
    <w:p w:rsidR="00000000" w:rsidRDefault="00A8725E">
      <w:pPr>
        <w:shd w:val="clear" w:color="auto" w:fill="FFFFFF"/>
        <w:spacing w:line="223" w:lineRule="exact"/>
        <w:ind w:left="677"/>
      </w:pPr>
      <w:r>
        <w:rPr>
          <w:color w:val="000000"/>
        </w:rPr>
        <w:t>Microscopic colitis not otherwise specified (MNOS) is a distinct but poorly studied entity, especially in the</w:t>
      </w:r>
    </w:p>
    <w:p w:rsidR="00000000" w:rsidRDefault="00A8725E">
      <w:pPr>
        <w:shd w:val="clear" w:color="auto" w:fill="FFFFFF"/>
        <w:spacing w:line="223" w:lineRule="exact"/>
        <w:ind w:left="684"/>
      </w:pPr>
      <w:proofErr w:type="gramStart"/>
      <w:r>
        <w:rPr>
          <w:color w:val="000000"/>
          <w:spacing w:val="-2"/>
        </w:rPr>
        <w:t>tropics</w:t>
      </w:r>
      <w:proofErr w:type="gramEnd"/>
      <w:r>
        <w:rPr>
          <w:color w:val="000000"/>
          <w:spacing w:val="-2"/>
        </w:rPr>
        <w:t>.</w:t>
      </w:r>
    </w:p>
    <w:p w:rsidR="00000000" w:rsidRDefault="00A8725E">
      <w:pPr>
        <w:shd w:val="clear" w:color="auto" w:fill="FFFFFF"/>
        <w:spacing w:line="223" w:lineRule="exact"/>
        <w:ind w:left="684"/>
      </w:pPr>
      <w:r>
        <w:rPr>
          <w:b/>
          <w:bCs/>
          <w:color w:val="000000"/>
          <w:spacing w:val="6"/>
        </w:rPr>
        <w:t xml:space="preserve">Objectives: </w:t>
      </w:r>
      <w:r>
        <w:rPr>
          <w:color w:val="000000"/>
          <w:spacing w:val="6"/>
        </w:rPr>
        <w:t xml:space="preserve">To investigate the presence of colonic and </w:t>
      </w:r>
      <w:proofErr w:type="spellStart"/>
      <w:r>
        <w:rPr>
          <w:color w:val="000000"/>
          <w:spacing w:val="6"/>
        </w:rPr>
        <w:t>ileal</w:t>
      </w:r>
      <w:proofErr w:type="spellEnd"/>
      <w:r>
        <w:rPr>
          <w:color w:val="000000"/>
          <w:spacing w:val="6"/>
        </w:rPr>
        <w:t xml:space="preserve"> inflammation in patients with </w:t>
      </w:r>
      <w:proofErr w:type="spellStart"/>
      <w:r>
        <w:rPr>
          <w:color w:val="000000"/>
          <w:spacing w:val="6"/>
        </w:rPr>
        <w:t>diar</w:t>
      </w:r>
      <w:r>
        <w:rPr>
          <w:color w:val="000000"/>
          <w:spacing w:val="6"/>
        </w:rPr>
        <w:t>rhoea</w:t>
      </w:r>
      <w:proofErr w:type="spellEnd"/>
    </w:p>
    <w:p w:rsidR="00000000" w:rsidRDefault="00A8725E">
      <w:pPr>
        <w:shd w:val="clear" w:color="auto" w:fill="FFFFFF"/>
        <w:spacing w:line="223" w:lineRule="exact"/>
        <w:ind w:left="677"/>
      </w:pPr>
      <w:proofErr w:type="gramStart"/>
      <w:r>
        <w:rPr>
          <w:color w:val="000000"/>
          <w:spacing w:val="1"/>
        </w:rPr>
        <w:t>predominant</w:t>
      </w:r>
      <w:proofErr w:type="gramEnd"/>
      <w:r>
        <w:rPr>
          <w:color w:val="000000"/>
          <w:spacing w:val="1"/>
        </w:rPr>
        <w:t xml:space="preserve"> IBS (IBS-D) in a </w:t>
      </w:r>
      <w:proofErr w:type="spellStart"/>
      <w:r>
        <w:rPr>
          <w:color w:val="000000"/>
          <w:spacing w:val="1"/>
        </w:rPr>
        <w:t>tropicai</w:t>
      </w:r>
      <w:proofErr w:type="spellEnd"/>
      <w:r>
        <w:rPr>
          <w:color w:val="000000"/>
          <w:spacing w:val="1"/>
        </w:rPr>
        <w:t xml:space="preserve"> setting.</w:t>
      </w:r>
    </w:p>
    <w:p w:rsidR="00000000" w:rsidRDefault="00A8725E">
      <w:pPr>
        <w:shd w:val="clear" w:color="auto" w:fill="FFFFFF"/>
        <w:spacing w:line="223" w:lineRule="exact"/>
        <w:ind w:left="677"/>
      </w:pPr>
      <w:r>
        <w:rPr>
          <w:b/>
          <w:bCs/>
          <w:color w:val="000000"/>
          <w:spacing w:val="2"/>
        </w:rPr>
        <w:t xml:space="preserve">Design, setting and methods: </w:t>
      </w:r>
      <w:r>
        <w:rPr>
          <w:color w:val="000000"/>
          <w:spacing w:val="2"/>
        </w:rPr>
        <w:t>In a prospective study over one year, we recruited 42 consecutive patients</w:t>
      </w:r>
    </w:p>
    <w:p w:rsidR="00000000" w:rsidRDefault="00A8725E">
      <w:pPr>
        <w:shd w:val="clear" w:color="auto" w:fill="FFFFFF"/>
        <w:spacing w:line="223" w:lineRule="exact"/>
        <w:ind w:left="677"/>
      </w:pPr>
      <w:proofErr w:type="gramStart"/>
      <w:r>
        <w:rPr>
          <w:color w:val="000000"/>
          <w:spacing w:val="2"/>
        </w:rPr>
        <w:t>with</w:t>
      </w:r>
      <w:proofErr w:type="gramEnd"/>
      <w:r>
        <w:rPr>
          <w:color w:val="000000"/>
          <w:spacing w:val="2"/>
        </w:rPr>
        <w:t xml:space="preserve"> IBS (diagnosed using Rome II criteria) and no alarm symptoms (mean age 36.1 yrs, M:F=29:13) an</w:t>
      </w:r>
      <w:r>
        <w:rPr>
          <w:color w:val="000000"/>
          <w:spacing w:val="2"/>
        </w:rPr>
        <w:t>d</w:t>
      </w:r>
    </w:p>
    <w:p w:rsidR="00000000" w:rsidRDefault="00A8725E">
      <w:pPr>
        <w:shd w:val="clear" w:color="auto" w:fill="FFFFFF"/>
        <w:spacing w:line="223" w:lineRule="exact"/>
        <w:ind w:left="706"/>
      </w:pPr>
      <w:r>
        <w:rPr>
          <w:color w:val="000000"/>
        </w:rPr>
        <w:t>13 controls {mean age 42.3 yrs, M</w:t>
      </w:r>
      <w:proofErr w:type="gramStart"/>
      <w:r>
        <w:rPr>
          <w:color w:val="000000"/>
        </w:rPr>
        <w:t>:F</w:t>
      </w:r>
      <w:proofErr w:type="gramEnd"/>
      <w:r>
        <w:rPr>
          <w:color w:val="000000"/>
        </w:rPr>
        <w:t xml:space="preserve">=5:8). Serial colonic and </w:t>
      </w:r>
      <w:proofErr w:type="spellStart"/>
      <w:r>
        <w:rPr>
          <w:color w:val="000000"/>
        </w:rPr>
        <w:t>ileal</w:t>
      </w:r>
      <w:proofErr w:type="spellEnd"/>
      <w:r>
        <w:rPr>
          <w:color w:val="000000"/>
        </w:rPr>
        <w:t xml:space="preserve"> biopsies were obtained.</w:t>
      </w:r>
    </w:p>
    <w:p w:rsidR="00000000" w:rsidRDefault="00A8725E">
      <w:pPr>
        <w:shd w:val="clear" w:color="auto" w:fill="FFFFFF"/>
        <w:spacing w:line="223" w:lineRule="exact"/>
        <w:ind w:left="684"/>
      </w:pPr>
      <w:r>
        <w:rPr>
          <w:b/>
          <w:bCs/>
          <w:color w:val="000000"/>
        </w:rPr>
        <w:t xml:space="preserve">Results: </w:t>
      </w:r>
      <w:proofErr w:type="spellStart"/>
      <w:r>
        <w:rPr>
          <w:color w:val="000000"/>
        </w:rPr>
        <w:t>Coionoscopy</w:t>
      </w:r>
      <w:proofErr w:type="spellEnd"/>
      <w:r>
        <w:rPr>
          <w:color w:val="000000"/>
        </w:rPr>
        <w:t xml:space="preserve"> was macroscopically normal in all cases and controls. 23 (54.8%) cases had MNOS,</w:t>
      </w:r>
    </w:p>
    <w:p w:rsidR="00000000" w:rsidRDefault="00A8725E">
      <w:pPr>
        <w:shd w:val="clear" w:color="auto" w:fill="FFFFFF"/>
        <w:spacing w:before="7" w:line="223" w:lineRule="exact"/>
        <w:ind w:left="684"/>
      </w:pPr>
      <w:r>
        <w:rPr>
          <w:color w:val="000000"/>
          <w:spacing w:val="8"/>
        </w:rPr>
        <w:t xml:space="preserve">2(4.76%) </w:t>
      </w:r>
      <w:proofErr w:type="spellStart"/>
      <w:r>
        <w:rPr>
          <w:color w:val="000000"/>
          <w:spacing w:val="8"/>
        </w:rPr>
        <w:t>ileal</w:t>
      </w:r>
      <w:proofErr w:type="spellEnd"/>
      <w:r>
        <w:rPr>
          <w:color w:val="000000"/>
          <w:spacing w:val="8"/>
        </w:rPr>
        <w:t xml:space="preserve"> inflammation only, and 17(40.48%) had normal h</w:t>
      </w:r>
      <w:r>
        <w:rPr>
          <w:color w:val="000000"/>
          <w:spacing w:val="8"/>
        </w:rPr>
        <w:t>istology. Histology was normal in</w:t>
      </w:r>
    </w:p>
    <w:p w:rsidR="00000000" w:rsidRDefault="00A8725E">
      <w:pPr>
        <w:shd w:val="clear" w:color="auto" w:fill="FFFFFF"/>
        <w:spacing w:line="223" w:lineRule="exact"/>
        <w:ind w:left="706"/>
      </w:pPr>
      <w:r>
        <w:rPr>
          <w:color w:val="000000"/>
          <w:spacing w:val="7"/>
        </w:rPr>
        <w:t>11(84.62%) controls, and 2(15.38%) had MNOS. MNOS was significantly commoner in cases than</w:t>
      </w:r>
    </w:p>
    <w:p w:rsidR="00000000" w:rsidRDefault="00A8725E">
      <w:pPr>
        <w:shd w:val="clear" w:color="auto" w:fill="FFFFFF"/>
        <w:spacing w:line="223" w:lineRule="exact"/>
        <w:ind w:left="691"/>
      </w:pPr>
      <w:proofErr w:type="gramStart"/>
      <w:r>
        <w:rPr>
          <w:color w:val="000000"/>
          <w:spacing w:val="5"/>
        </w:rPr>
        <w:t>controls</w:t>
      </w:r>
      <w:proofErr w:type="gramEnd"/>
      <w:r>
        <w:rPr>
          <w:color w:val="000000"/>
          <w:spacing w:val="5"/>
        </w:rPr>
        <w:t xml:space="preserve"> (P=0.02, chi-square test). MNOS was commonest in the right side of the colon (n=20, 80%).</w:t>
      </w:r>
    </w:p>
    <w:p w:rsidR="00000000" w:rsidRDefault="00A8725E">
      <w:pPr>
        <w:shd w:val="clear" w:color="auto" w:fill="FFFFFF"/>
        <w:spacing w:before="7" w:line="223" w:lineRule="exact"/>
        <w:ind w:left="713"/>
      </w:pPr>
      <w:r>
        <w:rPr>
          <w:color w:val="000000"/>
          <w:spacing w:val="5"/>
        </w:rPr>
        <w:t>14(60.8%) patients with MNOS had a history suggestive of post infective IBS, compared to 7(36.8%)</w:t>
      </w:r>
    </w:p>
    <w:p w:rsidR="00000000" w:rsidRDefault="00A8725E">
      <w:pPr>
        <w:shd w:val="clear" w:color="auto" w:fill="FFFFFF"/>
        <w:spacing w:line="223" w:lineRule="exact"/>
        <w:ind w:left="677"/>
      </w:pPr>
      <w:proofErr w:type="gramStart"/>
      <w:r>
        <w:rPr>
          <w:color w:val="000000"/>
          <w:spacing w:val="1"/>
        </w:rPr>
        <w:t>patients</w:t>
      </w:r>
      <w:proofErr w:type="gramEnd"/>
      <w:r>
        <w:rPr>
          <w:color w:val="000000"/>
          <w:spacing w:val="1"/>
        </w:rPr>
        <w:t xml:space="preserve"> without MNOS (P&gt;0.05).</w:t>
      </w:r>
    </w:p>
    <w:p w:rsidR="00000000" w:rsidRDefault="00A8725E">
      <w:pPr>
        <w:shd w:val="clear" w:color="auto" w:fill="FFFFFF"/>
        <w:spacing w:line="223" w:lineRule="exact"/>
        <w:ind w:left="691"/>
      </w:pPr>
      <w:r>
        <w:rPr>
          <w:b/>
          <w:bCs/>
          <w:color w:val="000000"/>
          <w:spacing w:val="4"/>
        </w:rPr>
        <w:t xml:space="preserve">Conclusion: </w:t>
      </w:r>
      <w:r>
        <w:rPr>
          <w:color w:val="000000"/>
          <w:spacing w:val="4"/>
        </w:rPr>
        <w:t>MNOS is common in patients with IBS-D in a tropical setting. Post infectious IBS seems</w:t>
      </w:r>
    </w:p>
    <w:p w:rsidR="00000000" w:rsidRDefault="00A8725E">
      <w:pPr>
        <w:shd w:val="clear" w:color="auto" w:fill="FFFFFF"/>
        <w:spacing w:line="223" w:lineRule="exact"/>
        <w:ind w:left="691"/>
      </w:pPr>
      <w:proofErr w:type="gramStart"/>
      <w:r>
        <w:rPr>
          <w:color w:val="000000"/>
          <w:spacing w:val="7"/>
        </w:rPr>
        <w:t>commoner</w:t>
      </w:r>
      <w:proofErr w:type="gramEnd"/>
      <w:r>
        <w:rPr>
          <w:color w:val="000000"/>
          <w:spacing w:val="7"/>
        </w:rPr>
        <w:t xml:space="preserve"> in patients with M</w:t>
      </w:r>
      <w:r>
        <w:rPr>
          <w:color w:val="000000"/>
          <w:spacing w:val="7"/>
        </w:rPr>
        <w:t>NOS than those without MNOS, although this did not reach statistical</w:t>
      </w:r>
    </w:p>
    <w:p w:rsidR="00000000" w:rsidRDefault="00A8725E">
      <w:pPr>
        <w:shd w:val="clear" w:color="auto" w:fill="FFFFFF"/>
        <w:spacing w:line="223" w:lineRule="exact"/>
        <w:ind w:left="698"/>
      </w:pPr>
      <w:proofErr w:type="gramStart"/>
      <w:r>
        <w:rPr>
          <w:color w:val="000000"/>
          <w:spacing w:val="1"/>
        </w:rPr>
        <w:t>significance</w:t>
      </w:r>
      <w:proofErr w:type="gramEnd"/>
      <w:r>
        <w:rPr>
          <w:color w:val="000000"/>
          <w:spacing w:val="1"/>
        </w:rPr>
        <w:t xml:space="preserve">. </w:t>
      </w:r>
      <w:proofErr w:type="spellStart"/>
      <w:r>
        <w:rPr>
          <w:color w:val="000000"/>
          <w:spacing w:val="1"/>
        </w:rPr>
        <w:t>Coionoscopy</w:t>
      </w:r>
      <w:proofErr w:type="spellEnd"/>
      <w:r>
        <w:rPr>
          <w:color w:val="000000"/>
          <w:spacing w:val="1"/>
        </w:rPr>
        <w:t xml:space="preserve"> with </w:t>
      </w:r>
      <w:proofErr w:type="spellStart"/>
      <w:r>
        <w:rPr>
          <w:color w:val="000000"/>
          <w:spacing w:val="1"/>
        </w:rPr>
        <w:t>ileoscopy</w:t>
      </w:r>
      <w:proofErr w:type="spellEnd"/>
      <w:r>
        <w:rPr>
          <w:color w:val="000000"/>
          <w:spacing w:val="1"/>
        </w:rPr>
        <w:t xml:space="preserve"> and serial biopsies are useful to detect mucosal inflammation in</w:t>
      </w:r>
    </w:p>
    <w:p w:rsidR="00000000" w:rsidRDefault="00A8725E">
      <w:pPr>
        <w:shd w:val="clear" w:color="auto" w:fill="FFFFFF"/>
        <w:spacing w:line="223" w:lineRule="exact"/>
        <w:ind w:left="691"/>
      </w:pPr>
      <w:proofErr w:type="gramStart"/>
      <w:r>
        <w:rPr>
          <w:color w:val="000000"/>
          <w:spacing w:val="-3"/>
        </w:rPr>
        <w:t>IBS-D.</w:t>
      </w:r>
      <w:proofErr w:type="gramEnd"/>
    </w:p>
    <w:p w:rsidR="00000000" w:rsidRDefault="00A8725E">
      <w:pPr>
        <w:shd w:val="clear" w:color="auto" w:fill="FFFFFF"/>
        <w:spacing w:before="698" w:line="223" w:lineRule="exact"/>
        <w:ind w:left="14"/>
      </w:pPr>
      <w:r>
        <w:rPr>
          <w:b/>
          <w:bCs/>
          <w:color w:val="000000"/>
          <w:spacing w:val="1"/>
        </w:rPr>
        <w:t>OP 51:   FNAC in the 'field'- a new experience</w:t>
      </w:r>
    </w:p>
    <w:p w:rsidR="00000000" w:rsidRDefault="00A8725E">
      <w:pPr>
        <w:shd w:val="clear" w:color="auto" w:fill="FFFFFF"/>
        <w:spacing w:line="223" w:lineRule="exact"/>
        <w:ind w:left="691"/>
      </w:pPr>
      <w:r>
        <w:rPr>
          <w:i/>
          <w:iCs/>
          <w:color w:val="000000"/>
          <w:spacing w:val="1"/>
          <w:u w:val="single"/>
        </w:rPr>
        <w:t>Fernando R</w:t>
      </w:r>
      <w:proofErr w:type="gramStart"/>
      <w:r>
        <w:rPr>
          <w:i/>
          <w:iCs/>
          <w:color w:val="000000"/>
          <w:spacing w:val="1"/>
          <w:u w:val="single"/>
          <w:vertAlign w:val="superscript"/>
        </w:rPr>
        <w:t>:</w:t>
      </w:r>
      <w:r>
        <w:rPr>
          <w:i/>
          <w:iCs/>
          <w:color w:val="000000"/>
          <w:spacing w:val="1"/>
          <w:u w:val="single"/>
        </w:rPr>
        <w:t>,</w:t>
      </w:r>
      <w:proofErr w:type="gramEnd"/>
      <w:r>
        <w:rPr>
          <w:i/>
          <w:iCs/>
          <w:color w:val="000000"/>
          <w:spacing w:val="1"/>
        </w:rPr>
        <w:t xml:space="preserve"> </w:t>
      </w:r>
      <w:proofErr w:type="spellStart"/>
      <w:r>
        <w:rPr>
          <w:i/>
          <w:iCs/>
          <w:color w:val="000000"/>
          <w:spacing w:val="1"/>
        </w:rPr>
        <w:t>Hewavisenthi</w:t>
      </w:r>
      <w:proofErr w:type="spellEnd"/>
      <w:r>
        <w:rPr>
          <w:i/>
          <w:iCs/>
          <w:color w:val="000000"/>
          <w:spacing w:val="1"/>
        </w:rPr>
        <w:t xml:space="preserve"> J</w:t>
      </w:r>
      <w:r>
        <w:rPr>
          <w:i/>
          <w:iCs/>
          <w:color w:val="000000"/>
          <w:spacing w:val="1"/>
          <w:vertAlign w:val="superscript"/>
        </w:rPr>
        <w:t>2</w:t>
      </w:r>
      <w:r>
        <w:rPr>
          <w:i/>
          <w:iCs/>
          <w:color w:val="000000"/>
          <w:spacing w:val="1"/>
        </w:rPr>
        <w:t xml:space="preserve">, </w:t>
      </w:r>
      <w:proofErr w:type="spellStart"/>
      <w:r>
        <w:rPr>
          <w:i/>
          <w:iCs/>
          <w:color w:val="000000"/>
          <w:spacing w:val="1"/>
        </w:rPr>
        <w:t>Pathmeswaran</w:t>
      </w:r>
      <w:proofErr w:type="spellEnd"/>
      <w:r>
        <w:rPr>
          <w:i/>
          <w:iCs/>
          <w:color w:val="000000"/>
          <w:spacing w:val="1"/>
        </w:rPr>
        <w:t xml:space="preserve"> A , </w:t>
      </w:r>
      <w:proofErr w:type="spellStart"/>
      <w:r>
        <w:rPr>
          <w:i/>
          <w:iCs/>
          <w:color w:val="000000"/>
          <w:spacing w:val="1"/>
        </w:rPr>
        <w:t>Edirisinghe</w:t>
      </w:r>
      <w:proofErr w:type="spellEnd"/>
      <w:r>
        <w:rPr>
          <w:i/>
          <w:iCs/>
          <w:color w:val="000000"/>
          <w:spacing w:val="1"/>
        </w:rPr>
        <w:t xml:space="preserve"> D</w:t>
      </w:r>
      <w:r>
        <w:rPr>
          <w:i/>
          <w:iCs/>
          <w:color w:val="000000"/>
          <w:spacing w:val="1"/>
          <w:vertAlign w:val="superscript"/>
        </w:rPr>
        <w:t>!</w:t>
      </w:r>
      <w:r>
        <w:rPr>
          <w:i/>
          <w:iCs/>
          <w:color w:val="000000"/>
          <w:spacing w:val="1"/>
        </w:rPr>
        <w:t xml:space="preserve">, </w:t>
      </w:r>
      <w:proofErr w:type="spellStart"/>
      <w:r>
        <w:rPr>
          <w:i/>
          <w:iCs/>
          <w:color w:val="000000"/>
          <w:spacing w:val="1"/>
        </w:rPr>
        <w:t>Abeysinghe</w:t>
      </w:r>
      <w:proofErr w:type="spellEnd"/>
      <w:r>
        <w:rPr>
          <w:i/>
          <w:iCs/>
          <w:color w:val="000000"/>
          <w:spacing w:val="1"/>
        </w:rPr>
        <w:t xml:space="preserve"> S</w:t>
      </w:r>
      <w:r>
        <w:rPr>
          <w:i/>
          <w:iCs/>
          <w:color w:val="000000"/>
          <w:spacing w:val="1"/>
          <w:vertAlign w:val="superscript"/>
        </w:rPr>
        <w:t>!</w:t>
      </w:r>
      <w:r>
        <w:rPr>
          <w:i/>
          <w:iCs/>
          <w:color w:val="000000"/>
          <w:spacing w:val="1"/>
        </w:rPr>
        <w:t xml:space="preserve">, </w:t>
      </w:r>
      <w:proofErr w:type="spellStart"/>
      <w:r>
        <w:rPr>
          <w:i/>
          <w:iCs/>
          <w:color w:val="000000"/>
          <w:spacing w:val="1"/>
        </w:rPr>
        <w:t>Atulugama</w:t>
      </w:r>
      <w:proofErr w:type="spellEnd"/>
      <w:r>
        <w:rPr>
          <w:i/>
          <w:iCs/>
          <w:color w:val="000000"/>
          <w:spacing w:val="1"/>
        </w:rPr>
        <w:t xml:space="preserve"> N, </w:t>
      </w:r>
      <w:proofErr w:type="spellStart"/>
      <w:r>
        <w:rPr>
          <w:i/>
          <w:iCs/>
          <w:color w:val="000000"/>
          <w:spacing w:val="1"/>
        </w:rPr>
        <w:t>Bandara</w:t>
      </w:r>
      <w:proofErr w:type="spellEnd"/>
    </w:p>
    <w:p w:rsidR="00000000" w:rsidRDefault="00A8725E">
      <w:pPr>
        <w:shd w:val="clear" w:color="auto" w:fill="FFFFFF"/>
        <w:spacing w:line="223" w:lineRule="exact"/>
        <w:ind w:left="691"/>
      </w:pPr>
      <w:r>
        <w:rPr>
          <w:i/>
          <w:iCs/>
          <w:color w:val="000000"/>
          <w:spacing w:val="-3"/>
        </w:rPr>
        <w:t>D</w:t>
      </w:r>
      <w:r>
        <w:rPr>
          <w:i/>
          <w:iCs/>
          <w:color w:val="000000"/>
          <w:spacing w:val="-3"/>
          <w:vertAlign w:val="superscript"/>
        </w:rPr>
        <w:t>1</w:t>
      </w:r>
      <w:r>
        <w:rPr>
          <w:i/>
          <w:iCs/>
          <w:color w:val="000000"/>
          <w:spacing w:val="-3"/>
        </w:rPr>
        <w:t xml:space="preserve">, </w:t>
      </w:r>
      <w:proofErr w:type="spellStart"/>
      <w:r>
        <w:rPr>
          <w:i/>
          <w:iCs/>
          <w:color w:val="000000"/>
          <w:spacing w:val="-3"/>
        </w:rPr>
        <w:t>Premathileke</w:t>
      </w:r>
      <w:proofErr w:type="spellEnd"/>
      <w:r>
        <w:rPr>
          <w:i/>
          <w:iCs/>
          <w:color w:val="000000"/>
          <w:spacing w:val="-3"/>
        </w:rPr>
        <w:t xml:space="preserve"> M</w:t>
      </w:r>
      <w:r>
        <w:rPr>
          <w:i/>
          <w:iCs/>
          <w:color w:val="000000"/>
          <w:spacing w:val="-3"/>
          <w:vertAlign w:val="superscript"/>
        </w:rPr>
        <w:t>1</w:t>
      </w:r>
    </w:p>
    <w:p w:rsidR="00000000" w:rsidRDefault="00A8725E">
      <w:pPr>
        <w:shd w:val="clear" w:color="auto" w:fill="FFFFFF"/>
        <w:spacing w:line="223" w:lineRule="exact"/>
        <w:ind w:left="698"/>
      </w:pPr>
      <w:r>
        <w:rPr>
          <w:i/>
          <w:iCs/>
          <w:color w:val="000000"/>
          <w:spacing w:val="4"/>
          <w:sz w:val="19"/>
          <w:szCs w:val="19"/>
        </w:rPr>
        <w:t>Departments of</w:t>
      </w:r>
      <w:r>
        <w:rPr>
          <w:i/>
          <w:iCs/>
          <w:color w:val="000000"/>
          <w:spacing w:val="4"/>
          <w:sz w:val="19"/>
          <w:szCs w:val="19"/>
          <w:vertAlign w:val="superscript"/>
        </w:rPr>
        <w:t>!</w:t>
      </w:r>
      <w:r>
        <w:rPr>
          <w:i/>
          <w:iCs/>
          <w:color w:val="000000"/>
          <w:spacing w:val="4"/>
          <w:sz w:val="19"/>
          <w:szCs w:val="19"/>
        </w:rPr>
        <w:t xml:space="preserve"> Surgery, </w:t>
      </w:r>
      <w:r>
        <w:rPr>
          <w:i/>
          <w:iCs/>
          <w:color w:val="000000"/>
          <w:spacing w:val="4"/>
          <w:sz w:val="19"/>
          <w:szCs w:val="19"/>
          <w:vertAlign w:val="superscript"/>
        </w:rPr>
        <w:t>2</w:t>
      </w:r>
      <w:r>
        <w:rPr>
          <w:i/>
          <w:iCs/>
          <w:color w:val="000000"/>
          <w:spacing w:val="4"/>
          <w:sz w:val="19"/>
          <w:szCs w:val="19"/>
        </w:rPr>
        <w:t xml:space="preserve"> Pathology and * Public Health, Faculty of Medicine, University of </w:t>
      </w:r>
      <w:proofErr w:type="spellStart"/>
      <w:r>
        <w:rPr>
          <w:i/>
          <w:iCs/>
          <w:color w:val="000000"/>
          <w:spacing w:val="4"/>
          <w:sz w:val="19"/>
          <w:szCs w:val="19"/>
        </w:rPr>
        <w:t>Kelaniya</w:t>
      </w:r>
      <w:proofErr w:type="spellEnd"/>
    </w:p>
    <w:p w:rsidR="00000000" w:rsidRDefault="00A8725E">
      <w:pPr>
        <w:shd w:val="clear" w:color="auto" w:fill="FFFFFF"/>
        <w:spacing w:before="223" w:line="223" w:lineRule="exact"/>
        <w:ind w:left="698"/>
      </w:pPr>
      <w:r>
        <w:rPr>
          <w:b/>
          <w:bCs/>
          <w:color w:val="000000"/>
        </w:rPr>
        <w:t xml:space="preserve">Background: </w:t>
      </w:r>
      <w:r>
        <w:rPr>
          <w:color w:val="000000"/>
        </w:rPr>
        <w:t>Fine needle aspiration cytology (FNAC) is an important diagnostic test in thyroid diseases. It</w:t>
      </w:r>
    </w:p>
    <w:p w:rsidR="00000000" w:rsidRDefault="00A8725E">
      <w:pPr>
        <w:shd w:val="clear" w:color="auto" w:fill="FFFFFF"/>
        <w:spacing w:line="223" w:lineRule="exact"/>
        <w:ind w:left="698"/>
      </w:pPr>
      <w:proofErr w:type="gramStart"/>
      <w:r>
        <w:rPr>
          <w:color w:val="000000"/>
          <w:spacing w:val="2"/>
        </w:rPr>
        <w:t>usually</w:t>
      </w:r>
      <w:proofErr w:type="gramEnd"/>
      <w:r>
        <w:rPr>
          <w:color w:val="000000"/>
          <w:spacing w:val="2"/>
        </w:rPr>
        <w:t xml:space="preserve"> is undertaken at a hospital or laboratory setup. As part of an </w:t>
      </w:r>
      <w:proofErr w:type="spellStart"/>
      <w:r>
        <w:rPr>
          <w:color w:val="000000"/>
          <w:spacing w:val="2"/>
        </w:rPr>
        <w:t>islandwide</w:t>
      </w:r>
      <w:proofErr w:type="spellEnd"/>
      <w:r>
        <w:rPr>
          <w:color w:val="000000"/>
          <w:spacing w:val="2"/>
        </w:rPr>
        <w:t xml:space="preserve"> field based study, FNAC</w:t>
      </w:r>
    </w:p>
    <w:p w:rsidR="00000000" w:rsidRDefault="00A8725E">
      <w:pPr>
        <w:shd w:val="clear" w:color="auto" w:fill="FFFFFF"/>
        <w:spacing w:line="223" w:lineRule="exact"/>
        <w:ind w:left="706"/>
      </w:pPr>
      <w:proofErr w:type="gramStart"/>
      <w:r>
        <w:rPr>
          <w:color w:val="000000"/>
          <w:spacing w:val="2"/>
        </w:rPr>
        <w:t>was</w:t>
      </w:r>
      <w:proofErr w:type="gramEnd"/>
      <w:r>
        <w:rPr>
          <w:color w:val="000000"/>
          <w:spacing w:val="2"/>
        </w:rPr>
        <w:t xml:space="preserve"> undertaken in the field.   Literature review revealed that FNAC accuracy rate was around 65-70% in</w:t>
      </w:r>
    </w:p>
    <w:p w:rsidR="00000000" w:rsidRDefault="00A8725E">
      <w:pPr>
        <w:shd w:val="clear" w:color="auto" w:fill="FFFFFF"/>
        <w:spacing w:line="223" w:lineRule="exact"/>
        <w:ind w:left="706"/>
      </w:pPr>
      <w:proofErr w:type="gramStart"/>
      <w:r>
        <w:rPr>
          <w:color w:val="000000"/>
          <w:spacing w:val="1"/>
        </w:rPr>
        <w:t>most</w:t>
      </w:r>
      <w:proofErr w:type="gramEnd"/>
      <w:r>
        <w:rPr>
          <w:color w:val="000000"/>
          <w:spacing w:val="1"/>
        </w:rPr>
        <w:t xml:space="preserve"> </w:t>
      </w:r>
      <w:proofErr w:type="spellStart"/>
      <w:r>
        <w:rPr>
          <w:color w:val="000000"/>
          <w:spacing w:val="1"/>
        </w:rPr>
        <w:t>Centres</w:t>
      </w:r>
      <w:proofErr w:type="spellEnd"/>
      <w:r>
        <w:rPr>
          <w:color w:val="000000"/>
          <w:spacing w:val="1"/>
        </w:rPr>
        <w:t xml:space="preserve"> with full-fledged facilities.</w:t>
      </w:r>
    </w:p>
    <w:p w:rsidR="00000000" w:rsidRDefault="00A8725E">
      <w:pPr>
        <w:shd w:val="clear" w:color="auto" w:fill="FFFFFF"/>
        <w:spacing w:line="223" w:lineRule="exact"/>
        <w:ind w:left="706"/>
      </w:pPr>
      <w:r>
        <w:rPr>
          <w:b/>
          <w:bCs/>
          <w:color w:val="000000"/>
          <w:spacing w:val="1"/>
        </w:rPr>
        <w:t xml:space="preserve">Objectives: </w:t>
      </w:r>
      <w:r>
        <w:rPr>
          <w:color w:val="000000"/>
          <w:spacing w:val="1"/>
        </w:rPr>
        <w:t>To determine the effectiveness of FNAC done in the field</w:t>
      </w:r>
    </w:p>
    <w:p w:rsidR="00000000" w:rsidRDefault="00A8725E">
      <w:pPr>
        <w:shd w:val="clear" w:color="auto" w:fill="FFFFFF"/>
        <w:spacing w:line="223" w:lineRule="exact"/>
        <w:ind w:left="706"/>
      </w:pPr>
      <w:r>
        <w:rPr>
          <w:b/>
          <w:bCs/>
          <w:color w:val="000000"/>
        </w:rPr>
        <w:t xml:space="preserve">Design, setting and methods:  </w:t>
      </w:r>
      <w:r>
        <w:rPr>
          <w:color w:val="000000"/>
        </w:rPr>
        <w:t>Informed wr</w:t>
      </w:r>
      <w:r>
        <w:rPr>
          <w:color w:val="000000"/>
        </w:rPr>
        <w:t xml:space="preserve">itten consent was obtained and the </w:t>
      </w:r>
      <w:proofErr w:type="spellStart"/>
      <w:r>
        <w:rPr>
          <w:color w:val="000000"/>
        </w:rPr>
        <w:t>goitre</w:t>
      </w:r>
      <w:proofErr w:type="spellEnd"/>
      <w:r>
        <w:rPr>
          <w:color w:val="000000"/>
        </w:rPr>
        <w:t xml:space="preserve"> was delineated with a</w:t>
      </w:r>
    </w:p>
    <w:p w:rsidR="00000000" w:rsidRDefault="00A8725E">
      <w:pPr>
        <w:shd w:val="clear" w:color="auto" w:fill="FFFFFF"/>
        <w:spacing w:line="223" w:lineRule="exact"/>
        <w:ind w:left="698"/>
      </w:pPr>
      <w:proofErr w:type="gramStart"/>
      <w:r>
        <w:rPr>
          <w:color w:val="000000"/>
          <w:spacing w:val="4"/>
        </w:rPr>
        <w:t>marker</w:t>
      </w:r>
      <w:proofErr w:type="gramEnd"/>
      <w:r>
        <w:rPr>
          <w:color w:val="000000"/>
          <w:spacing w:val="4"/>
        </w:rPr>
        <w:t xml:space="preserve"> pen. FNAC was carried out by a trained team member in the standard manner. Four slides were</w:t>
      </w:r>
    </w:p>
    <w:p w:rsidR="00000000" w:rsidRDefault="00A8725E">
      <w:pPr>
        <w:shd w:val="clear" w:color="auto" w:fill="FFFFFF"/>
        <w:spacing w:line="223" w:lineRule="exact"/>
        <w:ind w:left="706"/>
      </w:pPr>
      <w:proofErr w:type="gramStart"/>
      <w:r>
        <w:rPr>
          <w:color w:val="000000"/>
          <w:spacing w:val="1"/>
        </w:rPr>
        <w:t>prepared</w:t>
      </w:r>
      <w:proofErr w:type="gramEnd"/>
      <w:r>
        <w:rPr>
          <w:color w:val="000000"/>
          <w:spacing w:val="1"/>
        </w:rPr>
        <w:t xml:space="preserve"> from each patient. All slides were processed and examined by a cytologist</w:t>
      </w:r>
    </w:p>
    <w:p w:rsidR="00000000" w:rsidRDefault="00A8725E">
      <w:pPr>
        <w:shd w:val="clear" w:color="auto" w:fill="FFFFFF"/>
        <w:spacing w:line="223" w:lineRule="exact"/>
        <w:ind w:left="706"/>
      </w:pPr>
      <w:r>
        <w:rPr>
          <w:b/>
          <w:bCs/>
          <w:color w:val="000000"/>
          <w:spacing w:val="7"/>
        </w:rPr>
        <w:t xml:space="preserve">Results:  </w:t>
      </w:r>
      <w:r>
        <w:rPr>
          <w:b/>
          <w:bCs/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308 FNAC </w:t>
      </w:r>
      <w:proofErr w:type="gramStart"/>
      <w:r>
        <w:rPr>
          <w:color w:val="000000"/>
          <w:spacing w:val="7"/>
        </w:rPr>
        <w:t>were  done</w:t>
      </w:r>
      <w:proofErr w:type="gramEnd"/>
      <w:r>
        <w:rPr>
          <w:color w:val="000000"/>
          <w:spacing w:val="7"/>
        </w:rPr>
        <w:t xml:space="preserve">.  226 FNAC were diagnostic (73.36%) and 82(26.64%) </w:t>
      </w:r>
      <w:proofErr w:type="gramStart"/>
      <w:r>
        <w:rPr>
          <w:color w:val="000000"/>
          <w:spacing w:val="7"/>
        </w:rPr>
        <w:t>were  non</w:t>
      </w:r>
      <w:proofErr w:type="gramEnd"/>
    </w:p>
    <w:p w:rsidR="00000000" w:rsidRDefault="00A8725E">
      <w:pPr>
        <w:shd w:val="clear" w:color="auto" w:fill="FFFFFF"/>
        <w:spacing w:line="223" w:lineRule="exact"/>
        <w:ind w:left="706"/>
      </w:pPr>
      <w:proofErr w:type="gramStart"/>
      <w:r>
        <w:rPr>
          <w:color w:val="000000"/>
        </w:rPr>
        <w:t>diagnostic</w:t>
      </w:r>
      <w:proofErr w:type="gramEnd"/>
      <w:r>
        <w:rPr>
          <w:color w:val="000000"/>
        </w:rPr>
        <w:t>. 62(23.8%) showed benign cells only. The pathological entities detected were: 112 (49.5%) auto</w:t>
      </w:r>
    </w:p>
    <w:p w:rsidR="00000000" w:rsidRDefault="00A8725E">
      <w:pPr>
        <w:shd w:val="clear" w:color="auto" w:fill="FFFFFF"/>
        <w:spacing w:line="223" w:lineRule="exact"/>
        <w:ind w:left="713"/>
      </w:pPr>
      <w:proofErr w:type="gramStart"/>
      <w:r>
        <w:rPr>
          <w:color w:val="000000"/>
        </w:rPr>
        <w:t>immune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thyroiditis</w:t>
      </w:r>
      <w:proofErr w:type="spellEnd"/>
      <w:r>
        <w:rPr>
          <w:color w:val="000000"/>
        </w:rPr>
        <w:t>, 32 (14.1%) colloid storing nodules, 14(6.1%) col</w:t>
      </w:r>
      <w:r>
        <w:rPr>
          <w:color w:val="000000"/>
        </w:rPr>
        <w:t>loid storing nodules with autoimmune</w:t>
      </w:r>
    </w:p>
    <w:p w:rsidR="00000000" w:rsidRDefault="00A8725E">
      <w:pPr>
        <w:shd w:val="clear" w:color="auto" w:fill="FFFFFF"/>
        <w:spacing w:line="223" w:lineRule="exact"/>
        <w:ind w:left="713"/>
      </w:pPr>
      <w:proofErr w:type="spellStart"/>
      <w:proofErr w:type="gramStart"/>
      <w:r>
        <w:rPr>
          <w:color w:val="000000"/>
          <w:spacing w:val="1"/>
        </w:rPr>
        <w:t>thyroiditis</w:t>
      </w:r>
      <w:proofErr w:type="spellEnd"/>
      <w:proofErr w:type="gramEnd"/>
      <w:r>
        <w:rPr>
          <w:color w:val="000000"/>
          <w:spacing w:val="1"/>
        </w:rPr>
        <w:t>, 5 (2.2%) follicular lesions and one toxic lesion. There were no significant complications noted</w:t>
      </w:r>
    </w:p>
    <w:p w:rsidR="00000000" w:rsidRDefault="00A8725E">
      <w:pPr>
        <w:shd w:val="clear" w:color="auto" w:fill="FFFFFF"/>
        <w:spacing w:before="7" w:line="223" w:lineRule="exact"/>
        <w:ind w:left="720"/>
      </w:pPr>
      <w:proofErr w:type="gramStart"/>
      <w:r>
        <w:rPr>
          <w:color w:val="000000"/>
        </w:rPr>
        <w:t>in</w:t>
      </w:r>
      <w:proofErr w:type="gramEnd"/>
      <w:r>
        <w:rPr>
          <w:color w:val="000000"/>
        </w:rPr>
        <w:t xml:space="preserve"> any of the patients.</w:t>
      </w:r>
    </w:p>
    <w:p w:rsidR="00000000" w:rsidRDefault="00A8725E">
      <w:pPr>
        <w:shd w:val="clear" w:color="auto" w:fill="FFFFFF"/>
        <w:spacing w:line="223" w:lineRule="exact"/>
        <w:ind w:left="713"/>
      </w:pPr>
      <w:r>
        <w:rPr>
          <w:b/>
          <w:bCs/>
          <w:color w:val="000000"/>
        </w:rPr>
        <w:t xml:space="preserve">Conclusions: </w:t>
      </w:r>
      <w:r>
        <w:rPr>
          <w:color w:val="000000"/>
        </w:rPr>
        <w:t>Field FNAC has a high diagnostic accuracy if done by a trained person. It</w:t>
      </w:r>
      <w:r>
        <w:rPr>
          <w:color w:val="000000"/>
        </w:rPr>
        <w:t xml:space="preserve"> is a safe procedure</w:t>
      </w:r>
    </w:p>
    <w:p w:rsidR="00A8725E" w:rsidRDefault="00A8725E">
      <w:pPr>
        <w:shd w:val="clear" w:color="auto" w:fill="FFFFFF"/>
        <w:spacing w:line="223" w:lineRule="exact"/>
        <w:ind w:left="713"/>
      </w:pPr>
      <w:proofErr w:type="gramStart"/>
      <w:r>
        <w:rPr>
          <w:color w:val="000000"/>
          <w:spacing w:val="-1"/>
        </w:rPr>
        <w:t>in</w:t>
      </w:r>
      <w:proofErr w:type="gramEnd"/>
      <w:r>
        <w:rPr>
          <w:color w:val="000000"/>
          <w:spacing w:val="-1"/>
        </w:rPr>
        <w:t xml:space="preserve"> the field.</w:t>
      </w:r>
    </w:p>
    <w:sectPr w:rsidR="00A8725E">
      <w:type w:val="continuous"/>
      <w:pgSz w:w="12240" w:h="15840"/>
      <w:pgMar w:top="1440" w:right="2110" w:bottom="720" w:left="71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725E"/>
    <w:rsid w:val="00A8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2015-10-07T06:49:00Z</dcterms:created>
  <dcterms:modified xsi:type="dcterms:W3CDTF">2015-10-07T06:50:00Z</dcterms:modified>
</cp:coreProperties>
</file>