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2460">
      <w:pPr>
        <w:shd w:val="clear" w:color="auto" w:fill="FFFFFF"/>
        <w:spacing w:line="230" w:lineRule="exact"/>
      </w:pPr>
      <w:r>
        <w:rPr>
          <w:b/>
          <w:bCs/>
          <w:color w:val="000000"/>
        </w:rPr>
        <w:t xml:space="preserve">OP 34:  Epidemiology of </w:t>
      </w:r>
      <w:proofErr w:type="spellStart"/>
      <w:r>
        <w:rPr>
          <w:b/>
          <w:bCs/>
          <w:color w:val="000000"/>
        </w:rPr>
        <w:t>goitres</w:t>
      </w:r>
      <w:proofErr w:type="spellEnd"/>
      <w:r>
        <w:rPr>
          <w:b/>
          <w:bCs/>
          <w:color w:val="000000"/>
        </w:rPr>
        <w:t xml:space="preserve"> in Sri Lanka - results of a community based study</w:t>
      </w:r>
    </w:p>
    <w:p w:rsidR="00000000" w:rsidRDefault="00DE2460">
      <w:pPr>
        <w:shd w:val="clear" w:color="auto" w:fill="FFFFFF"/>
        <w:spacing w:line="230" w:lineRule="exact"/>
        <w:ind w:left="670"/>
      </w:pPr>
      <w:proofErr w:type="spellStart"/>
      <w:r>
        <w:rPr>
          <w:i/>
          <w:iCs/>
          <w:color w:val="000000"/>
          <w:u w:val="single"/>
        </w:rPr>
        <w:t>Fernando_R</w:t>
      </w:r>
      <w:proofErr w:type="spellEnd"/>
      <w:r>
        <w:rPr>
          <w:i/>
          <w:iCs/>
          <w:color w:val="000000"/>
          <w:u w:val="single"/>
        </w:rPr>
        <w:t xml:space="preserve"> ,</w:t>
      </w:r>
      <w:r>
        <w:rPr>
          <w:i/>
          <w:iCs/>
          <w:color w:val="000000"/>
        </w:rPr>
        <w:t xml:space="preserve">   </w:t>
      </w:r>
      <w:proofErr w:type="spellStart"/>
      <w:r>
        <w:rPr>
          <w:i/>
          <w:iCs/>
          <w:color w:val="000000"/>
        </w:rPr>
        <w:t>Pathmeswaran</w:t>
      </w:r>
      <w:proofErr w:type="spellEnd"/>
      <w:r>
        <w:rPr>
          <w:i/>
          <w:iCs/>
          <w:color w:val="000000"/>
        </w:rPr>
        <w:t xml:space="preserve"> A', </w:t>
      </w:r>
      <w:proofErr w:type="spellStart"/>
      <w:r>
        <w:rPr>
          <w:i/>
          <w:iCs/>
          <w:color w:val="000000"/>
        </w:rPr>
        <w:t>Edirisinghe</w:t>
      </w:r>
      <w:proofErr w:type="spellEnd"/>
      <w:r>
        <w:rPr>
          <w:i/>
          <w:iCs/>
          <w:color w:val="000000"/>
        </w:rPr>
        <w:t xml:space="preserve"> D , </w:t>
      </w:r>
      <w:proofErr w:type="spellStart"/>
      <w:r>
        <w:rPr>
          <w:i/>
          <w:iCs/>
          <w:color w:val="000000"/>
        </w:rPr>
        <w:t>Abeysinghe</w:t>
      </w:r>
      <w:proofErr w:type="spellEnd"/>
      <w:r>
        <w:rPr>
          <w:i/>
          <w:iCs/>
          <w:color w:val="000000"/>
        </w:rPr>
        <w:t xml:space="preserve"> S , </w:t>
      </w:r>
      <w:proofErr w:type="spellStart"/>
      <w:r>
        <w:rPr>
          <w:i/>
          <w:iCs/>
          <w:color w:val="000000"/>
        </w:rPr>
        <w:t>Atulugama</w:t>
      </w:r>
      <w:proofErr w:type="spellEnd"/>
      <w:r>
        <w:rPr>
          <w:i/>
          <w:iCs/>
          <w:color w:val="000000"/>
        </w:rPr>
        <w:t xml:space="preserve"> N, </w:t>
      </w:r>
      <w:proofErr w:type="spellStart"/>
      <w:r>
        <w:rPr>
          <w:i/>
          <w:iCs/>
          <w:color w:val="000000"/>
        </w:rPr>
        <w:t>Bandara</w:t>
      </w:r>
      <w:proofErr w:type="spellEnd"/>
      <w:r>
        <w:rPr>
          <w:i/>
          <w:iCs/>
          <w:color w:val="000000"/>
        </w:rPr>
        <w:t xml:space="preserve"> D , </w:t>
      </w:r>
      <w:proofErr w:type="spellStart"/>
      <w:r>
        <w:rPr>
          <w:i/>
          <w:iCs/>
          <w:color w:val="000000"/>
        </w:rPr>
        <w:t>Premathileke</w:t>
      </w:r>
      <w:proofErr w:type="spellEnd"/>
    </w:p>
    <w:p w:rsidR="00000000" w:rsidRDefault="00DE2460">
      <w:pPr>
        <w:shd w:val="clear" w:color="auto" w:fill="FFFFFF"/>
        <w:spacing w:line="230" w:lineRule="exact"/>
        <w:ind w:left="662"/>
      </w:pPr>
      <w:r>
        <w:rPr>
          <w:i/>
          <w:iCs/>
          <w:color w:val="000000"/>
          <w:spacing w:val="-15"/>
          <w:sz w:val="19"/>
          <w:szCs w:val="19"/>
        </w:rPr>
        <w:t>M</w:t>
      </w:r>
      <w:r>
        <w:rPr>
          <w:i/>
          <w:iCs/>
          <w:color w:val="000000"/>
          <w:spacing w:val="-15"/>
          <w:sz w:val="19"/>
          <w:szCs w:val="19"/>
          <w:vertAlign w:val="superscript"/>
        </w:rPr>
        <w:t>1</w:t>
      </w:r>
    </w:p>
    <w:p w:rsidR="00000000" w:rsidRDefault="00DE2460">
      <w:pPr>
        <w:shd w:val="clear" w:color="auto" w:fill="FFFFFF"/>
        <w:spacing w:line="230" w:lineRule="exact"/>
        <w:ind w:left="670"/>
      </w:pPr>
      <w:r>
        <w:rPr>
          <w:i/>
          <w:iCs/>
          <w:color w:val="000000"/>
          <w:spacing w:val="2"/>
        </w:rPr>
        <w:t>Departments of' Surgery and</w:t>
      </w:r>
      <w:r>
        <w:rPr>
          <w:i/>
          <w:iCs/>
          <w:color w:val="000000"/>
          <w:spacing w:val="2"/>
          <w:vertAlign w:val="superscript"/>
        </w:rPr>
        <w:t>2</w:t>
      </w:r>
      <w:r>
        <w:rPr>
          <w:i/>
          <w:iCs/>
          <w:color w:val="000000"/>
          <w:spacing w:val="2"/>
        </w:rPr>
        <w:t xml:space="preserve"> Public Health, Faculty of Medicine, University </w:t>
      </w:r>
      <w:proofErr w:type="spellStart"/>
      <w:r>
        <w:rPr>
          <w:i/>
          <w:iCs/>
          <w:color w:val="000000"/>
          <w:spacing w:val="2"/>
        </w:rPr>
        <w:t>ofKelaniya</w:t>
      </w:r>
      <w:proofErr w:type="spellEnd"/>
    </w:p>
    <w:p w:rsidR="00000000" w:rsidRDefault="00DE2460">
      <w:pPr>
        <w:shd w:val="clear" w:color="auto" w:fill="FFFFFF"/>
        <w:spacing w:before="223" w:line="223" w:lineRule="exact"/>
        <w:ind w:left="677" w:right="22"/>
        <w:jc w:val="both"/>
      </w:pPr>
      <w:r>
        <w:rPr>
          <w:color w:val="000000"/>
          <w:spacing w:val="1"/>
        </w:rPr>
        <w:t xml:space="preserve">Background: </w:t>
      </w:r>
      <w:proofErr w:type="spellStart"/>
      <w:r>
        <w:rPr>
          <w:color w:val="000000"/>
          <w:spacing w:val="1"/>
        </w:rPr>
        <w:t>lodization</w:t>
      </w:r>
      <w:proofErr w:type="spellEnd"/>
      <w:r>
        <w:rPr>
          <w:color w:val="000000"/>
          <w:spacing w:val="1"/>
        </w:rPr>
        <w:t xml:space="preserve"> of salt was made mandatory in Sri Lanka in 1995. Data on the current prevalence </w:t>
      </w:r>
      <w:r>
        <w:rPr>
          <w:color w:val="000000"/>
        </w:rPr>
        <w:t xml:space="preserve">and geographic distribution of </w:t>
      </w:r>
      <w:proofErr w:type="spellStart"/>
      <w:r>
        <w:rPr>
          <w:color w:val="000000"/>
        </w:rPr>
        <w:t>goitre</w:t>
      </w:r>
      <w:proofErr w:type="spellEnd"/>
      <w:r>
        <w:rPr>
          <w:color w:val="000000"/>
        </w:rPr>
        <w:t xml:space="preserve"> among the general population is not available.</w:t>
      </w:r>
    </w:p>
    <w:p w:rsidR="00000000" w:rsidRDefault="00DE2460">
      <w:pPr>
        <w:shd w:val="clear" w:color="auto" w:fill="FFFFFF"/>
        <w:spacing w:line="223" w:lineRule="exact"/>
        <w:ind w:left="670" w:right="7"/>
        <w:jc w:val="both"/>
      </w:pPr>
      <w:r>
        <w:rPr>
          <w:color w:val="000000"/>
          <w:spacing w:val="1"/>
        </w:rPr>
        <w:t>Objective</w:t>
      </w:r>
      <w:r>
        <w:rPr>
          <w:color w:val="000000"/>
          <w:spacing w:val="1"/>
        </w:rPr>
        <w:t xml:space="preserve">s: To describe the epidemiology of </w:t>
      </w:r>
      <w:proofErr w:type="spellStart"/>
      <w:r>
        <w:rPr>
          <w:color w:val="000000"/>
          <w:spacing w:val="1"/>
        </w:rPr>
        <w:t>goitre</w:t>
      </w:r>
      <w:proofErr w:type="spellEnd"/>
      <w:r>
        <w:rPr>
          <w:color w:val="000000"/>
          <w:spacing w:val="1"/>
        </w:rPr>
        <w:t xml:space="preserve"> in the population over the age of 10 years in Sri Lanka </w:t>
      </w:r>
      <w:r>
        <w:rPr>
          <w:color w:val="000000"/>
          <w:spacing w:val="7"/>
        </w:rPr>
        <w:t xml:space="preserve">Design, setting and methods: The country (excluding the Northern Province) was divided into 6 </w:t>
      </w:r>
      <w:r>
        <w:rPr>
          <w:color w:val="000000"/>
          <w:spacing w:val="2"/>
        </w:rPr>
        <w:t>ecological zones based on annual rainfall and altitude. From eac</w:t>
      </w:r>
      <w:r>
        <w:rPr>
          <w:color w:val="000000"/>
          <w:spacing w:val="2"/>
        </w:rPr>
        <w:t xml:space="preserve">h zone, 18 </w:t>
      </w:r>
      <w:proofErr w:type="spellStart"/>
      <w:r>
        <w:rPr>
          <w:color w:val="000000"/>
          <w:spacing w:val="2"/>
        </w:rPr>
        <w:t>Grama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Niladhari</w:t>
      </w:r>
      <w:proofErr w:type="spellEnd"/>
      <w:r>
        <w:rPr>
          <w:color w:val="000000"/>
          <w:spacing w:val="2"/>
        </w:rPr>
        <w:t xml:space="preserve"> (GN) areas were selected, using the probability proportionate to size (PPS) technique. First household to be sampled </w:t>
      </w:r>
      <w:r>
        <w:rPr>
          <w:color w:val="000000"/>
        </w:rPr>
        <w:t xml:space="preserve">was selected at random from the list maintained by the midwife and all eligible people in the house were </w:t>
      </w:r>
      <w:r>
        <w:rPr>
          <w:color w:val="000000"/>
          <w:spacing w:val="2"/>
        </w:rPr>
        <w:t>sampled</w:t>
      </w:r>
      <w:r>
        <w:rPr>
          <w:color w:val="000000"/>
          <w:spacing w:val="2"/>
        </w:rPr>
        <w:t>. The closest household, next to the index household</w:t>
      </w:r>
      <w:proofErr w:type="gramStart"/>
      <w:r>
        <w:rPr>
          <w:color w:val="000000"/>
          <w:spacing w:val="2"/>
        </w:rPr>
        <w:t>,,</w:t>
      </w:r>
      <w:proofErr w:type="gramEnd"/>
      <w:r>
        <w:rPr>
          <w:color w:val="000000"/>
          <w:spacing w:val="2"/>
        </w:rPr>
        <w:t xml:space="preserve"> was visited and sampling carried out next. </w:t>
      </w:r>
      <w:r>
        <w:rPr>
          <w:color w:val="000000"/>
          <w:spacing w:val="1"/>
        </w:rPr>
        <w:t xml:space="preserve">The process was repeated until 50 subjects were sampled in a GN area. Each subject was examined by at least two researchers for the presence of </w:t>
      </w:r>
      <w:proofErr w:type="gramStart"/>
      <w:r>
        <w:rPr>
          <w:color w:val="000000"/>
          <w:spacing w:val="1"/>
        </w:rPr>
        <w:t xml:space="preserve">a </w:t>
      </w:r>
      <w:proofErr w:type="spellStart"/>
      <w:r>
        <w:rPr>
          <w:color w:val="000000"/>
          <w:spacing w:val="1"/>
        </w:rPr>
        <w:t>goitre</w:t>
      </w:r>
      <w:proofErr w:type="spellEnd"/>
      <w:proofErr w:type="gramEnd"/>
      <w:r>
        <w:rPr>
          <w:color w:val="000000"/>
          <w:spacing w:val="1"/>
        </w:rPr>
        <w:t>.</w:t>
      </w:r>
    </w:p>
    <w:p w:rsidR="00000000" w:rsidRDefault="00DE2460">
      <w:pPr>
        <w:shd w:val="clear" w:color="auto" w:fill="FFFFFF"/>
        <w:spacing w:line="223" w:lineRule="exact"/>
        <w:ind w:left="677"/>
        <w:jc w:val="both"/>
      </w:pPr>
      <w:r>
        <w:rPr>
          <w:color w:val="000000"/>
          <w:spacing w:val="4"/>
        </w:rPr>
        <w:t>Resu</w:t>
      </w:r>
      <w:r>
        <w:rPr>
          <w:color w:val="000000"/>
          <w:spacing w:val="4"/>
        </w:rPr>
        <w:t xml:space="preserve">lts: Total of 5200 subjects </w:t>
      </w:r>
      <w:proofErr w:type="gramStart"/>
      <w:r>
        <w:rPr>
          <w:color w:val="000000"/>
          <w:spacing w:val="4"/>
        </w:rPr>
        <w:t>were</w:t>
      </w:r>
      <w:proofErr w:type="gramEnd"/>
      <w:r>
        <w:rPr>
          <w:color w:val="000000"/>
          <w:spacing w:val="4"/>
        </w:rPr>
        <w:t xml:space="preserve"> assessed. 66 %( 3,433) were females. Mean (SD) age 36.3(17.3) </w:t>
      </w:r>
      <w:r>
        <w:rPr>
          <w:color w:val="000000"/>
          <w:spacing w:val="1"/>
        </w:rPr>
        <w:t xml:space="preserve">years. 425 subjects had </w:t>
      </w:r>
      <w:proofErr w:type="gramStart"/>
      <w:r>
        <w:rPr>
          <w:color w:val="000000"/>
          <w:spacing w:val="1"/>
        </w:rPr>
        <w:t xml:space="preserve">a </w:t>
      </w:r>
      <w:proofErr w:type="spellStart"/>
      <w:r>
        <w:rPr>
          <w:color w:val="000000"/>
          <w:spacing w:val="1"/>
        </w:rPr>
        <w:t>goitre</w:t>
      </w:r>
      <w:proofErr w:type="spellEnd"/>
      <w:proofErr w:type="gramEnd"/>
      <w:r>
        <w:rPr>
          <w:color w:val="000000"/>
          <w:spacing w:val="1"/>
        </w:rPr>
        <w:t xml:space="preserve">. The distribution of </w:t>
      </w:r>
      <w:proofErr w:type="spellStart"/>
      <w:r>
        <w:rPr>
          <w:color w:val="000000"/>
          <w:spacing w:val="1"/>
        </w:rPr>
        <w:t>goitres</w:t>
      </w:r>
      <w:proofErr w:type="spellEnd"/>
      <w:r>
        <w:rPr>
          <w:color w:val="000000"/>
          <w:spacing w:val="1"/>
        </w:rPr>
        <w:t xml:space="preserve"> according to the WHO categorization - Grades </w:t>
      </w:r>
      <w:r>
        <w:rPr>
          <w:color w:val="000000"/>
        </w:rPr>
        <w:t>1, 2, 3 and 4 was 18.6, 68.0, 12.5 and 0.9 percent res</w:t>
      </w:r>
      <w:r>
        <w:rPr>
          <w:color w:val="000000"/>
        </w:rPr>
        <w:t xml:space="preserve">pectively. Adjusted (age and zone) prevalence among females and males was 11.2% and 2.3% respectively. Adjusted (age and sex) prevalence (95% CI) in the </w:t>
      </w:r>
      <w:r>
        <w:rPr>
          <w:color w:val="000000"/>
          <w:spacing w:val="4"/>
        </w:rPr>
        <w:t xml:space="preserve">different zones varied between 5.34% in the intermediate zone-south to 7.93% in the wet zone-hills. </w:t>
      </w:r>
      <w:r>
        <w:rPr>
          <w:color w:val="000000"/>
          <w:spacing w:val="1"/>
        </w:rPr>
        <w:t>Ove</w:t>
      </w:r>
      <w:r>
        <w:rPr>
          <w:color w:val="000000"/>
          <w:spacing w:val="1"/>
        </w:rPr>
        <w:t>rall adjusted prevalence was 6.8% (6.0-7.6).</w:t>
      </w:r>
    </w:p>
    <w:p w:rsidR="00DE2460" w:rsidRDefault="00DE2460">
      <w:pPr>
        <w:shd w:val="clear" w:color="auto" w:fill="FFFFFF"/>
        <w:spacing w:line="223" w:lineRule="exact"/>
        <w:ind w:left="670"/>
        <w:jc w:val="both"/>
      </w:pPr>
      <w:r>
        <w:rPr>
          <w:color w:val="000000"/>
        </w:rPr>
        <w:t xml:space="preserve">Conclusions: The prevalence of </w:t>
      </w:r>
      <w:proofErr w:type="spellStart"/>
      <w:r>
        <w:rPr>
          <w:color w:val="000000"/>
        </w:rPr>
        <w:t>goitres</w:t>
      </w:r>
      <w:proofErr w:type="spellEnd"/>
      <w:r>
        <w:rPr>
          <w:color w:val="000000"/>
        </w:rPr>
        <w:t xml:space="preserve"> is 6.8%. There is definite female preponderance. No obvious </w:t>
      </w:r>
      <w:proofErr w:type="spellStart"/>
      <w:r>
        <w:rPr>
          <w:color w:val="000000"/>
        </w:rPr>
        <w:t>goitre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1"/>
        </w:rPr>
        <w:t>belt can be discerned.</w:t>
      </w:r>
    </w:p>
    <w:sectPr w:rsidR="00DE2460">
      <w:type w:val="continuous"/>
      <w:pgSz w:w="12240" w:h="15840"/>
      <w:pgMar w:top="1440" w:right="2592" w:bottom="720" w:left="27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2460"/>
    <w:rsid w:val="00DE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2015-10-07T06:44:00Z</dcterms:created>
  <dcterms:modified xsi:type="dcterms:W3CDTF">2015-10-07T06:44:00Z</dcterms:modified>
</cp:coreProperties>
</file>