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243">
      <w:pPr>
        <w:shd w:val="clear" w:color="auto" w:fill="FFFFFF"/>
      </w:pPr>
      <w:r>
        <w:rPr>
          <w:color w:val="000000"/>
          <w:spacing w:val="2"/>
          <w:sz w:val="21"/>
          <w:szCs w:val="21"/>
        </w:rPr>
        <w:t>OP 24:  Lifestyle correlates of cardiovascular risk factors in a Sri Lankan population</w:t>
      </w:r>
    </w:p>
    <w:p w:rsidR="00000000" w:rsidRDefault="00420243">
      <w:pPr>
        <w:shd w:val="clear" w:color="auto" w:fill="FFFFFF"/>
        <w:spacing w:line="223" w:lineRule="exact"/>
        <w:ind w:left="727" w:right="374"/>
      </w:pPr>
      <w:r>
        <w:rPr>
          <w:i/>
          <w:iCs/>
          <w:color w:val="000000"/>
        </w:rPr>
        <w:t>PinidiyapathirageMJ</w:t>
      </w: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, Kasturiratne A</w:t>
      </w: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, deSilvaBA</w:t>
      </w: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, PereraDM</w:t>
      </w:r>
      <w:r>
        <w:rPr>
          <w:i/>
          <w:iCs/>
          <w:color w:val="000000"/>
          <w:vertAlign w:val="superscript"/>
        </w:rPr>
        <w:t>1</w:t>
      </w:r>
      <w:r>
        <w:rPr>
          <w:i/>
          <w:iCs/>
          <w:color w:val="000000"/>
        </w:rPr>
        <w:t>, RamanayakeRPJC</w:t>
      </w:r>
      <w:r>
        <w:rPr>
          <w:i/>
          <w:iCs/>
          <w:color w:val="000000"/>
          <w:vertAlign w:val="superscript"/>
        </w:rPr>
        <w:t>!</w:t>
      </w:r>
      <w:r>
        <w:rPr>
          <w:i/>
          <w:iCs/>
          <w:color w:val="000000"/>
        </w:rPr>
        <w:t>, Sumathipala WLAH , Mizoue T, Makaya M</w:t>
      </w:r>
      <w:r>
        <w:rPr>
          <w:i/>
          <w:iCs/>
          <w:color w:val="000000"/>
          <w:vertAlign w:val="superscript"/>
        </w:rPr>
        <w:t>2</w:t>
      </w:r>
      <w:r>
        <w:rPr>
          <w:i/>
          <w:iCs/>
          <w:color w:val="000000"/>
        </w:rPr>
        <w:t xml:space="preserve"> for the Ragama Health Study</w:t>
      </w:r>
    </w:p>
    <w:p w:rsidR="00000000" w:rsidRDefault="00420243">
      <w:pPr>
        <w:shd w:val="clear" w:color="auto" w:fill="FFFFFF"/>
        <w:spacing w:line="238" w:lineRule="exact"/>
        <w:ind w:left="706" w:right="4118" w:firstLine="115"/>
      </w:pPr>
      <w:r>
        <w:rPr>
          <w:i/>
          <w:iCs/>
          <w:color w:val="000000"/>
        </w:rPr>
        <w:t xml:space="preserve">Faculty of Medicine, University of Kelaniya </w:t>
      </w:r>
      <w:r>
        <w:rPr>
          <w:i/>
          <w:iCs/>
          <w:color w:val="000000"/>
          <w:spacing w:val="-1"/>
        </w:rPr>
        <w:t>' International Medical Centre of Japan, Tokyo, Japan</w:t>
      </w:r>
    </w:p>
    <w:p w:rsidR="00000000" w:rsidRDefault="00420243">
      <w:pPr>
        <w:shd w:val="clear" w:color="auto" w:fill="FFFFFF"/>
        <w:spacing w:before="223" w:line="223" w:lineRule="exact"/>
        <w:ind w:left="713" w:right="7"/>
        <w:jc w:val="both"/>
      </w:pPr>
      <w:r>
        <w:rPr>
          <w:color w:val="000000"/>
          <w:spacing w:val="1"/>
        </w:rPr>
        <w:t xml:space="preserve">Objectives: To determine the association between selected lifestyle risk behaviours (physical activity-PA, </w:t>
      </w:r>
      <w:r>
        <w:rPr>
          <w:color w:val="000000"/>
          <w:spacing w:val="3"/>
        </w:rPr>
        <w:t>smoking and fruit, vegetable and alcohol consumptio</w:t>
      </w:r>
      <w:r>
        <w:rPr>
          <w:color w:val="000000"/>
          <w:spacing w:val="3"/>
        </w:rPr>
        <w:t xml:space="preserve">n) and cardiovascular risk factors in an urban Sri </w:t>
      </w:r>
      <w:r>
        <w:rPr>
          <w:color w:val="000000"/>
          <w:spacing w:val="-1"/>
        </w:rPr>
        <w:t>Lankan population.</w:t>
      </w:r>
    </w:p>
    <w:p w:rsidR="00000000" w:rsidRDefault="00420243">
      <w:pPr>
        <w:shd w:val="clear" w:color="auto" w:fill="FFFFFF"/>
        <w:spacing w:before="7" w:line="223" w:lineRule="exact"/>
        <w:ind w:left="706" w:right="7"/>
        <w:jc w:val="both"/>
      </w:pPr>
      <w:r>
        <w:rPr>
          <w:color w:val="000000"/>
          <w:spacing w:val="1"/>
        </w:rPr>
        <w:t xml:space="preserve">Design, setting and methods: A random sample of 3650 individuals between 35-64 years resident in the </w:t>
      </w:r>
      <w:r>
        <w:rPr>
          <w:color w:val="000000"/>
          <w:spacing w:val="3"/>
        </w:rPr>
        <w:t>Ragama MOH area were selected from the electoral list. A validated, interviewer-admin</w:t>
      </w:r>
      <w:r>
        <w:rPr>
          <w:color w:val="000000"/>
          <w:spacing w:val="3"/>
        </w:rPr>
        <w:t xml:space="preserve">istered, food frequency questionnaire and a physical activity questionnaire were used to collect data. Blood samples </w:t>
      </w:r>
      <w:r>
        <w:rPr>
          <w:color w:val="000000"/>
          <w:spacing w:val="1"/>
        </w:rPr>
        <w:t>were analysed for serum lipid and fasting blood glucose (FBG) concentrations.</w:t>
      </w:r>
    </w:p>
    <w:p w:rsidR="00000000" w:rsidRDefault="00420243">
      <w:pPr>
        <w:shd w:val="clear" w:color="auto" w:fill="FFFFFF"/>
        <w:spacing w:line="223" w:lineRule="exact"/>
        <w:ind w:left="713" w:right="7"/>
        <w:jc w:val="both"/>
      </w:pPr>
      <w:r>
        <w:rPr>
          <w:color w:val="000000"/>
          <w:spacing w:val="1"/>
        </w:rPr>
        <w:t>Results: Of the 2602 participants (males:46%), 47% reported l</w:t>
      </w:r>
      <w:r>
        <w:rPr>
          <w:color w:val="000000"/>
          <w:spacing w:val="1"/>
        </w:rPr>
        <w:t xml:space="preserve">ow physical activity (PA), 51% sub-optimal </w:t>
      </w:r>
      <w:r>
        <w:rPr>
          <w:color w:val="000000"/>
          <w:spacing w:val="3"/>
        </w:rPr>
        <w:t xml:space="preserve">fruit consumption, 13% sub-optimal vegetable consumption, 6% excess alcohol consumption and 16% were current smokers. A significantly higher percentage of males reported moderate to high physical </w:t>
      </w:r>
      <w:r>
        <w:rPr>
          <w:color w:val="000000"/>
          <w:spacing w:val="1"/>
        </w:rPr>
        <w:t>activity, had a l</w:t>
      </w:r>
      <w:r>
        <w:rPr>
          <w:color w:val="000000"/>
          <w:spacing w:val="1"/>
        </w:rPr>
        <w:t xml:space="preserve">ower BMI, consumed more alcohol, smoked currently and consumed less fruits. Vegetable </w:t>
      </w:r>
      <w:r>
        <w:rPr>
          <w:color w:val="000000"/>
        </w:rPr>
        <w:t>consumption was similar between sexes.</w:t>
      </w:r>
    </w:p>
    <w:p w:rsidR="00420243" w:rsidRDefault="00420243">
      <w:pPr>
        <w:shd w:val="clear" w:color="auto" w:fill="FFFFFF"/>
        <w:spacing w:line="223" w:lineRule="exact"/>
        <w:ind w:left="706"/>
        <w:jc w:val="both"/>
      </w:pPr>
      <w:r>
        <w:rPr>
          <w:color w:val="000000"/>
          <w:spacing w:val="1"/>
        </w:rPr>
        <w:t xml:space="preserve">In females, risk behaviours were not associated with serum lipid and FBG concentrations. Among males, those reporting a low PA had </w:t>
      </w:r>
      <w:r>
        <w:rPr>
          <w:color w:val="000000"/>
          <w:spacing w:val="1"/>
        </w:rPr>
        <w:t xml:space="preserve">a significantly higher percentage with serum triglyceride concentrations &gt;150mg/dl and FBG &gt;110mg/dl. A significantly higher percentage of male smokers had a serum total </w:t>
      </w:r>
      <w:r>
        <w:rPr>
          <w:color w:val="000000"/>
          <w:spacing w:val="4"/>
        </w:rPr>
        <w:t>cholesterol concentration &gt;200mg/dl and serum LDL concentration &gt;100mg/dl. Excessive a</w:t>
      </w:r>
      <w:r>
        <w:rPr>
          <w:color w:val="000000"/>
          <w:spacing w:val="4"/>
        </w:rPr>
        <w:t xml:space="preserve">lcohol </w:t>
      </w:r>
      <w:r>
        <w:rPr>
          <w:color w:val="000000"/>
          <w:spacing w:val="1"/>
        </w:rPr>
        <w:t xml:space="preserve">consumption in males was associated with high triglyceride concentrations (&gt;150mg/dl). Serum lipid and FBG levels were similar among those with different fruit and vegetable consumption patterns, </w:t>
      </w:r>
      <w:r>
        <w:rPr>
          <w:color w:val="000000"/>
          <w:spacing w:val="4"/>
        </w:rPr>
        <w:t>Conclusion: Low physical activity, smoking and excess</w:t>
      </w:r>
      <w:r>
        <w:rPr>
          <w:color w:val="000000"/>
          <w:spacing w:val="4"/>
        </w:rPr>
        <w:t xml:space="preserve">ive alcohol consumption were associated with </w:t>
      </w:r>
      <w:r>
        <w:rPr>
          <w:color w:val="000000"/>
          <w:spacing w:val="3"/>
        </w:rPr>
        <w:t xml:space="preserve">serum lipid and FBG concentrations in males. Fruit and vegetable consumption was not correlated with </w:t>
      </w:r>
      <w:r>
        <w:rPr>
          <w:color w:val="000000"/>
          <w:spacing w:val="-2"/>
        </w:rPr>
        <w:t>risk factors.</w:t>
      </w:r>
    </w:p>
    <w:sectPr w:rsidR="00420243">
      <w:type w:val="continuous"/>
      <w:pgSz w:w="12240" w:h="15840"/>
      <w:pgMar w:top="1440" w:right="756" w:bottom="720" w:left="20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0243"/>
    <w:rsid w:val="0042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2015-10-07T06:40:00Z</dcterms:created>
  <dcterms:modified xsi:type="dcterms:W3CDTF">2015-10-07T06:41:00Z</dcterms:modified>
</cp:coreProperties>
</file>