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166B">
      <w:pPr>
        <w:shd w:val="clear" w:color="auto" w:fill="FFFFFF"/>
        <w:spacing w:line="230" w:lineRule="exact"/>
      </w:pPr>
      <w:r>
        <w:rPr>
          <w:b/>
          <w:bCs/>
          <w:color w:val="000000"/>
        </w:rPr>
        <w:t xml:space="preserve">OP 4:     Pattern of </w:t>
      </w:r>
      <w:r>
        <w:rPr>
          <w:color w:val="000000"/>
        </w:rPr>
        <w:t xml:space="preserve">CNS </w:t>
      </w:r>
      <w:r>
        <w:rPr>
          <w:b/>
          <w:bCs/>
          <w:color w:val="000000"/>
        </w:rPr>
        <w:t>infections presenting to a Teaching Hospital</w:t>
      </w:r>
    </w:p>
    <w:p w:rsidR="00000000" w:rsidRDefault="003F166B">
      <w:pPr>
        <w:shd w:val="clear" w:color="auto" w:fill="FFFFFF"/>
        <w:spacing w:line="230" w:lineRule="exact"/>
        <w:ind w:left="698"/>
      </w:pPr>
      <w:proofErr w:type="spellStart"/>
      <w:r>
        <w:rPr>
          <w:i/>
          <w:iCs/>
          <w:color w:val="000000"/>
          <w:spacing w:val="-2"/>
          <w:u w:val="single"/>
        </w:rPr>
        <w:t>Ranawaka</w:t>
      </w:r>
      <w:proofErr w:type="spellEnd"/>
      <w:r>
        <w:rPr>
          <w:i/>
          <w:iCs/>
          <w:color w:val="000000"/>
          <w:spacing w:val="-2"/>
          <w:u w:val="single"/>
        </w:rPr>
        <w:t xml:space="preserve"> UK</w:t>
      </w:r>
      <w:r>
        <w:rPr>
          <w:i/>
          <w:iCs/>
          <w:color w:val="000000"/>
          <w:spacing w:val="-2"/>
          <w:u w:val="single"/>
          <w:vertAlign w:val="superscript"/>
        </w:rPr>
        <w:t>1</w:t>
      </w:r>
      <w:r>
        <w:rPr>
          <w:i/>
          <w:iCs/>
          <w:color w:val="000000"/>
          <w:spacing w:val="-2"/>
          <w:u w:val="single"/>
        </w:rPr>
        <w:t>.</w:t>
      </w:r>
      <w:r>
        <w:rPr>
          <w:i/>
          <w:iCs/>
          <w:color w:val="000000"/>
          <w:spacing w:val="-2"/>
        </w:rPr>
        <w:t xml:space="preserve"> </w:t>
      </w:r>
      <w:proofErr w:type="spellStart"/>
      <w:r>
        <w:rPr>
          <w:i/>
          <w:iCs/>
          <w:color w:val="000000"/>
          <w:spacing w:val="-2"/>
        </w:rPr>
        <w:t>Premaratne</w:t>
      </w:r>
      <w:proofErr w:type="spellEnd"/>
      <w:r>
        <w:rPr>
          <w:i/>
          <w:iCs/>
          <w:color w:val="000000"/>
          <w:spacing w:val="-2"/>
        </w:rPr>
        <w:t xml:space="preserve"> R</w:t>
      </w:r>
      <w:proofErr w:type="gramStart"/>
      <w:r>
        <w:rPr>
          <w:i/>
          <w:iCs/>
          <w:color w:val="000000"/>
          <w:spacing w:val="-2"/>
          <w:vertAlign w:val="superscript"/>
        </w:rPr>
        <w:t>!</w:t>
      </w:r>
      <w:r>
        <w:rPr>
          <w:i/>
          <w:iCs/>
          <w:color w:val="000000"/>
          <w:spacing w:val="-2"/>
        </w:rPr>
        <w:t>,</w:t>
      </w:r>
      <w:proofErr w:type="gramEnd"/>
      <w:r>
        <w:rPr>
          <w:i/>
          <w:iCs/>
          <w:color w:val="000000"/>
          <w:spacing w:val="-2"/>
        </w:rPr>
        <w:t xml:space="preserve"> </w:t>
      </w:r>
      <w:proofErr w:type="spellStart"/>
      <w:r>
        <w:rPr>
          <w:i/>
          <w:iCs/>
          <w:color w:val="000000"/>
          <w:spacing w:val="-2"/>
        </w:rPr>
        <w:t>Kumari</w:t>
      </w:r>
      <w:proofErr w:type="spellEnd"/>
      <w:r>
        <w:rPr>
          <w:i/>
          <w:iCs/>
          <w:color w:val="000000"/>
          <w:spacing w:val="-2"/>
        </w:rPr>
        <w:t xml:space="preserve"> NBANA</w:t>
      </w:r>
      <w:r>
        <w:rPr>
          <w:i/>
          <w:iCs/>
          <w:color w:val="000000"/>
          <w:spacing w:val="-2"/>
          <w:vertAlign w:val="superscript"/>
        </w:rPr>
        <w:t>1</w:t>
      </w:r>
      <w:r>
        <w:rPr>
          <w:i/>
          <w:iCs/>
          <w:color w:val="000000"/>
          <w:spacing w:val="-2"/>
        </w:rPr>
        <w:t xml:space="preserve">, </w:t>
      </w:r>
      <w:proofErr w:type="spellStart"/>
      <w:r>
        <w:rPr>
          <w:i/>
          <w:iCs/>
          <w:color w:val="000000"/>
          <w:spacing w:val="-2"/>
        </w:rPr>
        <w:t>Wimalarathne</w:t>
      </w:r>
      <w:proofErr w:type="spellEnd"/>
      <w:r>
        <w:rPr>
          <w:i/>
          <w:iCs/>
          <w:color w:val="000000"/>
          <w:spacing w:val="-2"/>
        </w:rPr>
        <w:t xml:space="preserve"> WRS', </w:t>
      </w:r>
      <w:proofErr w:type="spellStart"/>
      <w:r>
        <w:rPr>
          <w:i/>
          <w:iCs/>
          <w:color w:val="000000"/>
          <w:spacing w:val="-2"/>
        </w:rPr>
        <w:t>Cooray</w:t>
      </w:r>
      <w:proofErr w:type="spellEnd"/>
      <w:r>
        <w:rPr>
          <w:i/>
          <w:iCs/>
          <w:color w:val="000000"/>
          <w:spacing w:val="-2"/>
        </w:rPr>
        <w:t xml:space="preserve"> DKMMS</w:t>
      </w:r>
      <w:r>
        <w:rPr>
          <w:i/>
          <w:iCs/>
          <w:color w:val="000000"/>
          <w:spacing w:val="-2"/>
          <w:vertAlign w:val="superscript"/>
        </w:rPr>
        <w:t>2</w:t>
      </w:r>
      <w:r>
        <w:rPr>
          <w:i/>
          <w:iCs/>
          <w:color w:val="000000"/>
          <w:spacing w:val="-2"/>
        </w:rPr>
        <w:t xml:space="preserve">, </w:t>
      </w:r>
      <w:proofErr w:type="spellStart"/>
      <w:r>
        <w:rPr>
          <w:i/>
          <w:iCs/>
          <w:color w:val="000000"/>
          <w:spacing w:val="-2"/>
        </w:rPr>
        <w:t>Tissera</w:t>
      </w:r>
      <w:proofErr w:type="spellEnd"/>
      <w:r>
        <w:rPr>
          <w:i/>
          <w:iCs/>
          <w:color w:val="000000"/>
          <w:spacing w:val="-2"/>
        </w:rPr>
        <w:t xml:space="preserve"> WAJN</w:t>
      </w:r>
      <w:r>
        <w:rPr>
          <w:i/>
          <w:iCs/>
          <w:color w:val="000000"/>
          <w:spacing w:val="-2"/>
          <w:vertAlign w:val="superscript"/>
        </w:rPr>
        <w:t>2</w:t>
      </w:r>
      <w:r>
        <w:rPr>
          <w:i/>
          <w:iCs/>
          <w:color w:val="000000"/>
          <w:spacing w:val="-2"/>
        </w:rPr>
        <w:t>,</w:t>
      </w:r>
    </w:p>
    <w:p w:rsidR="00000000" w:rsidRDefault="003F166B">
      <w:pPr>
        <w:shd w:val="clear" w:color="auto" w:fill="FFFFFF"/>
        <w:spacing w:line="230" w:lineRule="exact"/>
        <w:ind w:left="698"/>
      </w:pPr>
      <w:proofErr w:type="spellStart"/>
      <w:r>
        <w:rPr>
          <w:i/>
          <w:iCs/>
          <w:color w:val="000000"/>
          <w:spacing w:val="2"/>
        </w:rPr>
        <w:t>Kulatunga</w:t>
      </w:r>
      <w:proofErr w:type="spellEnd"/>
      <w:r>
        <w:rPr>
          <w:i/>
          <w:iCs/>
          <w:color w:val="000000"/>
          <w:spacing w:val="2"/>
        </w:rPr>
        <w:t xml:space="preserve"> </w:t>
      </w:r>
      <w:proofErr w:type="gramStart"/>
      <w:r>
        <w:rPr>
          <w:i/>
          <w:iCs/>
          <w:color w:val="000000"/>
          <w:spacing w:val="2"/>
        </w:rPr>
        <w:t>A'</w:t>
      </w:r>
      <w:proofErr w:type="gramEnd"/>
      <w:r>
        <w:rPr>
          <w:i/>
          <w:iCs/>
          <w:color w:val="000000"/>
          <w:spacing w:val="2"/>
        </w:rPr>
        <w:t>, de Silva HJ</w:t>
      </w:r>
      <w:r>
        <w:rPr>
          <w:i/>
          <w:iCs/>
          <w:color w:val="000000"/>
          <w:spacing w:val="2"/>
          <w:vertAlign w:val="superscript"/>
        </w:rPr>
        <w:t>!</w:t>
      </w:r>
    </w:p>
    <w:p w:rsidR="00000000" w:rsidRDefault="003F166B">
      <w:pPr>
        <w:shd w:val="clear" w:color="auto" w:fill="FFFFFF"/>
        <w:spacing w:line="230" w:lineRule="exact"/>
        <w:ind w:left="713"/>
      </w:pPr>
      <w:r>
        <w:rPr>
          <w:i/>
          <w:iCs/>
          <w:color w:val="000000"/>
          <w:spacing w:val="1"/>
          <w:vertAlign w:val="superscript"/>
        </w:rPr>
        <w:t>1</w:t>
      </w:r>
      <w:r>
        <w:rPr>
          <w:i/>
          <w:iCs/>
          <w:color w:val="000000"/>
          <w:spacing w:val="1"/>
        </w:rPr>
        <w:t xml:space="preserve"> Faculty of Medicine, University </w:t>
      </w:r>
      <w:proofErr w:type="spellStart"/>
      <w:r>
        <w:rPr>
          <w:i/>
          <w:iCs/>
          <w:color w:val="000000"/>
          <w:spacing w:val="1"/>
        </w:rPr>
        <w:t>ofKelaniya</w:t>
      </w:r>
      <w:proofErr w:type="spellEnd"/>
    </w:p>
    <w:p w:rsidR="00000000" w:rsidRDefault="003F166B">
      <w:pPr>
        <w:shd w:val="clear" w:color="auto" w:fill="FFFFFF"/>
        <w:spacing w:line="230" w:lineRule="exact"/>
        <w:ind w:left="713"/>
      </w:pPr>
      <w:proofErr w:type="gramStart"/>
      <w:r>
        <w:rPr>
          <w:i/>
          <w:iCs/>
          <w:color w:val="000000"/>
          <w:spacing w:val="2"/>
        </w:rPr>
        <w:t>' Colombo</w:t>
      </w:r>
      <w:proofErr w:type="gramEnd"/>
      <w:r>
        <w:rPr>
          <w:i/>
          <w:iCs/>
          <w:color w:val="000000"/>
          <w:spacing w:val="2"/>
        </w:rPr>
        <w:t xml:space="preserve"> North Teaching Hospital, </w:t>
      </w:r>
      <w:proofErr w:type="spellStart"/>
      <w:r>
        <w:rPr>
          <w:i/>
          <w:iCs/>
          <w:color w:val="000000"/>
          <w:spacing w:val="2"/>
        </w:rPr>
        <w:t>Ragama</w:t>
      </w:r>
      <w:proofErr w:type="spellEnd"/>
    </w:p>
    <w:p w:rsidR="00000000" w:rsidRDefault="003F166B">
      <w:pPr>
        <w:shd w:val="clear" w:color="auto" w:fill="FFFFFF"/>
        <w:spacing w:before="230" w:line="223" w:lineRule="exact"/>
        <w:ind w:left="706" w:right="14"/>
        <w:jc w:val="both"/>
      </w:pPr>
      <w:r>
        <w:rPr>
          <w:b/>
          <w:bCs/>
          <w:color w:val="000000"/>
        </w:rPr>
        <w:t xml:space="preserve">Objective: </w:t>
      </w:r>
      <w:r>
        <w:rPr>
          <w:color w:val="000000"/>
        </w:rPr>
        <w:t xml:space="preserve">Central nervous system (CNS) infections cause high morbidity and mortality, but data from Sri Lanka are limited. We aimed to describe the pattern of CNS infections presenting to a tertiary care hospital </w:t>
      </w:r>
      <w:r>
        <w:rPr>
          <w:b/>
          <w:bCs/>
          <w:color w:val="000000"/>
        </w:rPr>
        <w:t xml:space="preserve">Design, setting and methods: </w:t>
      </w:r>
      <w:r>
        <w:rPr>
          <w:color w:val="000000"/>
        </w:rPr>
        <w:t xml:space="preserve">We prospectively studied all patients with suspected CNS infection admitted to the medical units of the Colombo North Teaching Hospital over a six-month period. Data were </w:t>
      </w:r>
      <w:r>
        <w:rPr>
          <w:color w:val="000000"/>
          <w:spacing w:val="3"/>
        </w:rPr>
        <w:t>collected on demographic and clinical features, laborato</w:t>
      </w:r>
      <w:r>
        <w:rPr>
          <w:color w:val="000000"/>
          <w:spacing w:val="3"/>
        </w:rPr>
        <w:t xml:space="preserve">ry findings, treatments given and immediate </w:t>
      </w:r>
      <w:r>
        <w:rPr>
          <w:color w:val="000000"/>
          <w:spacing w:val="-2"/>
        </w:rPr>
        <w:t>outcome.</w:t>
      </w:r>
    </w:p>
    <w:p w:rsidR="003F166B" w:rsidRDefault="003F166B">
      <w:pPr>
        <w:shd w:val="clear" w:color="auto" w:fill="FFFFFF"/>
        <w:spacing w:line="223" w:lineRule="exact"/>
        <w:ind w:left="713"/>
        <w:jc w:val="both"/>
      </w:pPr>
      <w:r>
        <w:rPr>
          <w:b/>
          <w:bCs/>
          <w:color w:val="000000"/>
        </w:rPr>
        <w:t xml:space="preserve">Results: </w:t>
      </w:r>
      <w:r>
        <w:rPr>
          <w:color w:val="000000"/>
        </w:rPr>
        <w:t xml:space="preserve">Fifty patients were studied [64% males, mean age (SD) - 39.4(20.2) years]. Fever (90%), altered </w:t>
      </w:r>
      <w:r>
        <w:rPr>
          <w:color w:val="000000"/>
          <w:spacing w:val="2"/>
        </w:rPr>
        <w:t xml:space="preserve">consciousness (80%), headache (66%), </w:t>
      </w:r>
      <w:proofErr w:type="spellStart"/>
      <w:r>
        <w:rPr>
          <w:color w:val="000000"/>
          <w:spacing w:val="2"/>
        </w:rPr>
        <w:t>behavioural</w:t>
      </w:r>
      <w:proofErr w:type="spellEnd"/>
      <w:r>
        <w:rPr>
          <w:color w:val="000000"/>
          <w:spacing w:val="2"/>
        </w:rPr>
        <w:t xml:space="preserve"> change (50%) and neck stiffness (52%) were the </w:t>
      </w:r>
      <w:r>
        <w:rPr>
          <w:color w:val="000000"/>
        </w:rPr>
        <w:t>co</w:t>
      </w:r>
      <w:r>
        <w:rPr>
          <w:color w:val="000000"/>
        </w:rPr>
        <w:t>mmonest findings on presentation. Seizures were seen in 28%, and focal deficits were rare (6%). Blood cultures, blood films for malarial parasites, CSF Gram stains and CSF-</w:t>
      </w:r>
      <w:proofErr w:type="spellStart"/>
      <w:r>
        <w:rPr>
          <w:color w:val="000000"/>
        </w:rPr>
        <w:t>eultures</w:t>
      </w:r>
      <w:proofErr w:type="spellEnd"/>
      <w:r>
        <w:rPr>
          <w:color w:val="000000"/>
        </w:rPr>
        <w:t xml:space="preserve"> were negative. CT scanning </w:t>
      </w:r>
      <w:r>
        <w:rPr>
          <w:color w:val="000000"/>
          <w:spacing w:val="5"/>
        </w:rPr>
        <w:t>was not helpful in diagnosis. A diagnosis of pre</w:t>
      </w:r>
      <w:r>
        <w:rPr>
          <w:color w:val="000000"/>
          <w:spacing w:val="5"/>
        </w:rPr>
        <w:t xml:space="preserve">sumed meningitis or encephalitis was made in 36% </w:t>
      </w:r>
      <w:r>
        <w:rPr>
          <w:color w:val="000000"/>
        </w:rPr>
        <w:t xml:space="preserve">patients, based on CSF cytology or EEC findings. A definitive </w:t>
      </w:r>
      <w:proofErr w:type="spellStart"/>
      <w:r>
        <w:rPr>
          <w:color w:val="000000"/>
        </w:rPr>
        <w:t>aetiological</w:t>
      </w:r>
      <w:proofErr w:type="spellEnd"/>
      <w:r>
        <w:rPr>
          <w:color w:val="000000"/>
        </w:rPr>
        <w:t xml:space="preserve">/ microbiological diagnosis was </w:t>
      </w:r>
      <w:r>
        <w:rPr>
          <w:color w:val="000000"/>
          <w:spacing w:val="1"/>
        </w:rPr>
        <w:t>not possible in any patient. All patients were treated with intravenous antibiotics +/- intravenous a</w:t>
      </w:r>
      <w:r>
        <w:rPr>
          <w:color w:val="000000"/>
          <w:spacing w:val="1"/>
        </w:rPr>
        <w:t xml:space="preserve">cyclovir </w:t>
      </w:r>
      <w:r>
        <w:rPr>
          <w:color w:val="000000"/>
        </w:rPr>
        <w:t xml:space="preserve">on empiric grounds, without microbiological confirmation. Six patients (12%) died in hospital. </w:t>
      </w:r>
      <w:r>
        <w:rPr>
          <w:b/>
          <w:bCs/>
          <w:color w:val="000000"/>
        </w:rPr>
        <w:t xml:space="preserve">Conclusions: </w:t>
      </w:r>
      <w:r>
        <w:rPr>
          <w:color w:val="000000"/>
        </w:rPr>
        <w:t>Diagnosis of CNS infections is highly unsatisfactory with the available facilities, even in a tertiary care setting.</w:t>
      </w:r>
    </w:p>
    <w:sectPr w:rsidR="003F166B">
      <w:type w:val="continuous"/>
      <w:pgSz w:w="12240" w:h="15840"/>
      <w:pgMar w:top="1440" w:right="1649" w:bottom="720" w:left="11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166B"/>
    <w:rsid w:val="003F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2015-10-07T06:23:00Z</dcterms:created>
  <dcterms:modified xsi:type="dcterms:W3CDTF">2015-10-07T06:24:00Z</dcterms:modified>
</cp:coreProperties>
</file>