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63CA56" w14:textId="77777777" w:rsidR="008A4656" w:rsidRPr="008A4656" w:rsidRDefault="008A4656" w:rsidP="008A4656">
      <w:pPr>
        <w:spacing w:line="240" w:lineRule="auto"/>
        <w:jc w:val="center"/>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sz w:val="28"/>
          <w:szCs w:val="28"/>
          <w14:ligatures w14:val="none"/>
        </w:rPr>
        <w:t>The Impact of Implementing Talent Management Practices on Sustainable Employee Performance</w:t>
      </w:r>
    </w:p>
    <w:p w14:paraId="295620F5" w14:textId="77777777" w:rsidR="008A4656" w:rsidRPr="008A4656" w:rsidRDefault="008A4656" w:rsidP="008A4656">
      <w:pPr>
        <w:spacing w:line="240" w:lineRule="auto"/>
        <w:jc w:val="center"/>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sz w:val="28"/>
          <w:szCs w:val="28"/>
          <w14:ligatures w14:val="none"/>
        </w:rPr>
        <w:t>(With Special Reference to executive-level Employees in Selected Apparel Companies in Wathupitiwala export processing Zone – Sri Lanka)</w:t>
      </w:r>
    </w:p>
    <w:p w14:paraId="683B1711" w14:textId="77777777" w:rsidR="008A4656" w:rsidRPr="008A4656" w:rsidRDefault="008A4656" w:rsidP="008A4656">
      <w:pPr>
        <w:spacing w:after="0" w:line="240" w:lineRule="auto"/>
        <w:jc w:val="center"/>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S.P.D.M. Senadheera</w:t>
      </w:r>
      <w:r w:rsidRPr="008A4656">
        <w:rPr>
          <w:rFonts w:ascii="Times New Roman" w:eastAsia="Times New Roman" w:hAnsi="Times New Roman" w:cs="Times New Roman"/>
          <w:b/>
          <w:bCs/>
          <w:color w:val="000000"/>
          <w:kern w:val="0"/>
          <w:sz w:val="13"/>
          <w:szCs w:val="13"/>
          <w:vertAlign w:val="superscript"/>
          <w14:ligatures w14:val="none"/>
        </w:rPr>
        <w:t>1</w:t>
      </w:r>
      <w:r w:rsidRPr="008A4656">
        <w:rPr>
          <w:rFonts w:ascii="Times New Roman" w:eastAsia="Times New Roman" w:hAnsi="Times New Roman" w:cs="Times New Roman"/>
          <w:b/>
          <w:bCs/>
          <w:color w:val="000000"/>
          <w:kern w:val="0"/>
          <w14:ligatures w14:val="none"/>
        </w:rPr>
        <w:t>, J.M.P.M. Peiris</w:t>
      </w:r>
      <w:r w:rsidRPr="008A4656">
        <w:rPr>
          <w:rFonts w:ascii="Times New Roman" w:eastAsia="Times New Roman" w:hAnsi="Times New Roman" w:cs="Times New Roman"/>
          <w:b/>
          <w:bCs/>
          <w:color w:val="000000"/>
          <w:kern w:val="0"/>
          <w:sz w:val="13"/>
          <w:szCs w:val="13"/>
          <w:vertAlign w:val="superscript"/>
          <w14:ligatures w14:val="none"/>
        </w:rPr>
        <w:t>2</w:t>
      </w:r>
    </w:p>
    <w:p w14:paraId="3DF0CCA1" w14:textId="77777777" w:rsidR="008A4656" w:rsidRPr="008A4656" w:rsidRDefault="008A4656" w:rsidP="008A4656">
      <w:pPr>
        <w:spacing w:after="0" w:line="240" w:lineRule="auto"/>
        <w:jc w:val="center"/>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Department of Human Resource Management</w:t>
      </w:r>
    </w:p>
    <w:p w14:paraId="59E71414" w14:textId="77777777" w:rsidR="008A4656" w:rsidRPr="008A4656" w:rsidRDefault="008A4656" w:rsidP="008A4656">
      <w:pPr>
        <w:spacing w:after="0" w:line="240" w:lineRule="auto"/>
        <w:jc w:val="center"/>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Faculty of Management Studies</w:t>
      </w:r>
    </w:p>
    <w:p w14:paraId="10FA2A12" w14:textId="77777777" w:rsidR="008A4656" w:rsidRPr="008A4656" w:rsidRDefault="008A4656" w:rsidP="008A4656">
      <w:pPr>
        <w:spacing w:after="0" w:line="240" w:lineRule="auto"/>
        <w:jc w:val="center"/>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Rajarata University of Sri Lanka </w:t>
      </w:r>
    </w:p>
    <w:p w14:paraId="682CB01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156CE529" w14:textId="716682F8" w:rsidR="008A4656" w:rsidRPr="008A4656" w:rsidRDefault="00FB7719" w:rsidP="008A4656">
      <w:pPr>
        <w:spacing w:after="0" w:line="240" w:lineRule="auto"/>
        <w:jc w:val="center"/>
        <w:rPr>
          <w:rFonts w:ascii="Times New Roman" w:eastAsia="Times New Roman" w:hAnsi="Times New Roman" w:cs="Times New Roman"/>
          <w:kern w:val="0"/>
          <w:sz w:val="24"/>
          <w:szCs w:val="24"/>
          <w14:ligatures w14:val="none"/>
        </w:rPr>
      </w:pPr>
      <w:r w:rsidRPr="00FB7719">
        <w:rPr>
          <w:rFonts w:ascii="Times New Roman" w:eastAsia="Times New Roman" w:hAnsi="Times New Roman" w:cs="Times New Roman"/>
          <w:b/>
          <w:bCs/>
          <w:color w:val="000000"/>
          <w:kern w:val="0"/>
          <w:vertAlign w:val="superscript"/>
          <w14:ligatures w14:val="none"/>
        </w:rPr>
        <w:t>1</w:t>
      </w:r>
      <w:r w:rsidR="008A4656" w:rsidRPr="008A4656">
        <w:rPr>
          <w:rFonts w:ascii="Times New Roman" w:eastAsia="Times New Roman" w:hAnsi="Times New Roman" w:cs="Times New Roman"/>
          <w:b/>
          <w:bCs/>
          <w:color w:val="000000"/>
          <w:kern w:val="0"/>
          <w14:ligatures w14:val="none"/>
        </w:rPr>
        <w:t xml:space="preserve">dulakshisenadeera@gmail.com, </w:t>
      </w:r>
      <w:r w:rsidRPr="00FB7719">
        <w:rPr>
          <w:rFonts w:ascii="Times New Roman" w:eastAsia="Times New Roman" w:hAnsi="Times New Roman" w:cs="Times New Roman"/>
          <w:b/>
          <w:bCs/>
          <w:color w:val="000000"/>
          <w:kern w:val="0"/>
          <w:vertAlign w:val="superscript"/>
          <w14:ligatures w14:val="none"/>
        </w:rPr>
        <w:t>2</w:t>
      </w:r>
      <w:r w:rsidR="008A4656" w:rsidRPr="008A4656">
        <w:rPr>
          <w:rFonts w:ascii="Times New Roman" w:eastAsia="Times New Roman" w:hAnsi="Times New Roman" w:cs="Times New Roman"/>
          <w:b/>
          <w:bCs/>
          <w:color w:val="000000"/>
          <w:kern w:val="0"/>
          <w14:ligatures w14:val="none"/>
        </w:rPr>
        <w:t>minolip@mgt.rjt.ac.lk</w:t>
      </w:r>
    </w:p>
    <w:p w14:paraId="0DA01836"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51CD7994" w14:textId="77777777" w:rsidR="008A4656" w:rsidRPr="008A4656" w:rsidRDefault="008A4656" w:rsidP="008A4656">
      <w:pPr>
        <w:spacing w:before="240" w:after="0" w:line="240" w:lineRule="auto"/>
        <w:jc w:val="both"/>
        <w:outlineLvl w:val="0"/>
        <w:rPr>
          <w:rFonts w:ascii="Times New Roman" w:eastAsia="Times New Roman" w:hAnsi="Times New Roman" w:cs="Times New Roman"/>
          <w:b/>
          <w:bCs/>
          <w:kern w:val="36"/>
          <w:sz w:val="48"/>
          <w:szCs w:val="48"/>
          <w14:ligatures w14:val="none"/>
        </w:rPr>
      </w:pPr>
      <w:r w:rsidRPr="008A4656">
        <w:rPr>
          <w:rFonts w:ascii="Times New Roman" w:eastAsia="Times New Roman" w:hAnsi="Times New Roman" w:cs="Times New Roman"/>
          <w:b/>
          <w:bCs/>
          <w:color w:val="000000"/>
          <w:kern w:val="36"/>
          <w:sz w:val="28"/>
          <w:szCs w:val="28"/>
          <w14:ligatures w14:val="none"/>
        </w:rPr>
        <w:t>Abstract </w:t>
      </w:r>
    </w:p>
    <w:p w14:paraId="52BDF1D0"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purpose of the study is to examine the impact of implementing talent management practices on sustainable employee performance with special reference to executive-level employees in selected apparel companies in Wathupitiwala export processing zone – Sri Lanka. There were very few studies conducted on this area theoretically and empirically. Thus, the researcher focused on filling this void by conducting study to add the knowledge in the areas of implementing talent management practices and sustainable employee performance. The purpose of the research was to discover which four independent factors had an influence on sustainable employee performance. However, in the current field, there was substantial influence of learning and development and career management on sustainable employee performance. This study employed a cross-sectional design and quantitative approach. Data were collected via based on questionnaire used by previous researches of validity and reliability and the sample was 132 executive employees. Questionnaire was used for collection of data. Hypotheses were tested using stratified random sample and the finding revealed that there is positive impact of Implementing Talent Management Practices on Sustainable Employee Performance. However, there is not impact of Implementing talent attraction and talent retention practices on Sustainable Employee Performance. As a result, a structural model is created to outline how these relationships between Implementing Talent Management Practices on Sustainable Employee Performance. </w:t>
      </w:r>
    </w:p>
    <w:p w14:paraId="5BF2AA9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Keywords: Talent Management, Sustainable employee performance, Apparel companies, human resource management</w:t>
      </w:r>
    </w:p>
    <w:p w14:paraId="0787C152" w14:textId="77777777" w:rsidR="008A4656" w:rsidRPr="008A4656" w:rsidRDefault="008A4656" w:rsidP="008A4656">
      <w:pPr>
        <w:numPr>
          <w:ilvl w:val="0"/>
          <w:numId w:val="1"/>
        </w:numPr>
        <w:spacing w:before="240" w:after="0" w:line="240" w:lineRule="auto"/>
        <w:ind w:left="360"/>
        <w:textAlignment w:val="baseline"/>
        <w:outlineLvl w:val="0"/>
        <w:rPr>
          <w:rFonts w:ascii="Times New Roman" w:eastAsia="Times New Roman" w:hAnsi="Times New Roman" w:cs="Times New Roman"/>
          <w:b/>
          <w:bCs/>
          <w:color w:val="000000"/>
          <w:kern w:val="36"/>
          <w:sz w:val="48"/>
          <w:szCs w:val="48"/>
          <w14:ligatures w14:val="none"/>
        </w:rPr>
      </w:pPr>
      <w:r w:rsidRPr="008A4656">
        <w:rPr>
          <w:rFonts w:ascii="Times New Roman" w:eastAsia="Times New Roman" w:hAnsi="Times New Roman" w:cs="Times New Roman"/>
          <w:b/>
          <w:bCs/>
          <w:color w:val="000000"/>
          <w:kern w:val="36"/>
          <w:sz w:val="28"/>
          <w:szCs w:val="28"/>
          <w14:ligatures w14:val="none"/>
        </w:rPr>
        <w:t>Introduction </w:t>
      </w:r>
    </w:p>
    <w:p w14:paraId="7E10256D" w14:textId="77777777" w:rsidR="008A4656" w:rsidRPr="008A4656" w:rsidRDefault="008A4656" w:rsidP="008A4656">
      <w:pPr>
        <w:numPr>
          <w:ilvl w:val="0"/>
          <w:numId w:val="2"/>
        </w:numPr>
        <w:spacing w:line="240" w:lineRule="auto"/>
        <w:ind w:left="360"/>
        <w:jc w:val="both"/>
        <w:textAlignment w:val="baseline"/>
        <w:rPr>
          <w:rFonts w:ascii="Cambria" w:eastAsia="Times New Roman" w:hAnsi="Cambria" w:cs="Times New Roman"/>
          <w:b/>
          <w:bCs/>
          <w:i/>
          <w:iCs/>
          <w:color w:val="000000"/>
          <w:kern w:val="0"/>
          <w:sz w:val="24"/>
          <w:szCs w:val="24"/>
          <w14:ligatures w14:val="none"/>
        </w:rPr>
      </w:pPr>
      <w:r w:rsidRPr="008A4656">
        <w:rPr>
          <w:rFonts w:ascii="Cambria" w:eastAsia="Times New Roman" w:hAnsi="Cambria" w:cs="Times New Roman"/>
          <w:b/>
          <w:bCs/>
          <w:i/>
          <w:iCs/>
          <w:color w:val="000000"/>
          <w:kern w:val="0"/>
          <w:sz w:val="24"/>
          <w:szCs w:val="24"/>
          <w14:ligatures w14:val="none"/>
        </w:rPr>
        <w:t>Introduction to the Study </w:t>
      </w:r>
    </w:p>
    <w:p w14:paraId="4C78C11B" w14:textId="77777777" w:rsidR="008A4656" w:rsidRPr="008A4656" w:rsidRDefault="008A4656" w:rsidP="008A4656">
      <w:pPr>
        <w:spacing w:line="240" w:lineRule="auto"/>
        <w:ind w:firstLine="36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purpose of this study was to determine the influence of talent management Practices on Sustainable Organizational Performance in the Sri Lankan appeal sector. The present study identified four important elements of talent management: talent attraction, talent retention, learning and development, and career management. The purpose of the research was to discover which four independent factors influenced Sustainable Employee Performance. However, in the current field, there was no substantial influence of learning and development on executive level employee performance. In addition, although not statistically significant, the other two independent variables, career management, and talent recruitment link with sustainable Organizational performance. According to the study's findings, HR experts in the Sri Lankan apparel sector place a high value on talent retention to improve sustainable employee performance. This study might be a reflection of the evolution of the apparel companies and human resource strategists attempting to establish a talent management philosophy. </w:t>
      </w:r>
    </w:p>
    <w:p w14:paraId="4F95020C"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lastRenderedPageBreak/>
        <w:t>1.2 Background of the Study </w:t>
      </w:r>
    </w:p>
    <w:p w14:paraId="227C6D03"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management is considered the backbone of human resource management (HRM), a problem with talent management (TM) is that there is no one definition, a properly defined scope, or overall goals for talent management. Therefore, authors and organizations tend to define and Interpret talent management in different ways. 51% of Human Resource Professionals undertook what they will be believe were talent management activities and only 20% of them worked with some form of talent management-related definition refers to the systematic use of specific human resources policies and practices to manage several global talent challenges. That a firm confronts there is some disagreement over the conceptual limits of the issue, according to a superficial study of the talent management literature (Harun et al., 2019). Talent management is defined as "the facilitation of the growth and advancement of highly talented and skilled persons in the business via the use of formalized procedures, resources, 2 policies, and processes." The talent management process focuses on developing people and executives for the organization's future. Talent is described as an employee's ability that includes intuition, skills, knowledge, experience, judgment, attitude, and personality. Global talent challenges the right amount of the right talent and motivation, the right place, and the right price, during all economic and financial ups and downs, to meet the needs of the firm in the short term, and enable the firm to have the workforce needed in the long term. </w:t>
      </w:r>
    </w:p>
    <w:p w14:paraId="1A6EE016"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During 2020's second quarter, the world economy declined significantly as a result of the COVID-19 pandemic. Due to this reason, a talent management gap can be seen in the economy. This pandemic situation affected the entire world's industries as well as the Sri Lankan industries. Hiring freezes and layoffs; wage freezes canceled bonuses, and pay reductions; how work is done, and increasing employee stress and burnout were all major difficulties for firms of all sizes and across industries. These are difficulties that existed to some level previously. They have, however, been magnified as a result of the epidemic. Performance management is a poorly understood and, as a result, frequently underutilized talent management activity that may assist firms in navigating crises such as the COVID19 outbreak (Aguinis &amp; Burgi-Tian, 2021). </w:t>
      </w:r>
    </w:p>
    <w:p w14:paraId="2A977739"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In this study of other industries in Sri Lanka, state banks face more competition than private banks. Public banks should hire personnel based on their credentials and offer incentives. Job rotations and promotions should be based on employee performance. Employees will be able to create a stronger platform for success and support prospective growth as a result of this. (Aina &amp; Atan, 2020). According to Collings &amp; Mellahi,(2009); Talent management is an essential component of human resource management, yet it is extremely difficult to precisely define. This is owing to several contradictory findings among academics about talent management definitions. The research was designed to help instructors strengthen their leadership skills. </w:t>
      </w:r>
    </w:p>
    <w:p w14:paraId="0FC58746"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Human resource creates a sustainable competitive advantage in organizations and talented employees make up the firm human capital pool. A study of 40 global companies found that all of them struggled with a lack of a sufficient talent pipeline to fill their 4 strategic positions which affected their business growth. Talent management activities occupy a significant amount of organizational resources. In addition, the global shortage of talent remains a significant challenge to organizations (Wickramaaratchi &amp; Perera, 2020; Cappelli &amp; Keller, 2014). Human resources, being the most important source of competitive advantage for every firm, need managers' attention and effort more than any other organizational resource or asset (Aguinis &amp; Burgi-Tian, 2021). </w:t>
      </w:r>
    </w:p>
    <w:p w14:paraId="27E3396F"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1.3 Problem Statement</w:t>
      </w:r>
    </w:p>
    <w:p w14:paraId="531F2938"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Although talent management is an important dimension in contemporary research on workplaces a majority of research has been confined to manufacturing contexts (Gordon, 2009). However, the prognosis for Asian emerging economies is unclear. Only a few empirical research have looked into employee engagement work methods and quality management efforts in Asian countries, notably, (Harun et al., 2019; Dixit &amp; Arrawatia, 2018; Bhatnagar,2007; Niu et al., 2021), although  (Wickramaaratchi &amp; Perera, 2020). has done research related to the Sri Lankan context, and it has been done for the management trainees of </w:t>
      </w:r>
      <w:r w:rsidRPr="008A4656">
        <w:rPr>
          <w:rFonts w:ascii="Times New Roman" w:eastAsia="Times New Roman" w:hAnsi="Times New Roman" w:cs="Times New Roman"/>
          <w:color w:val="000000"/>
          <w:kern w:val="0"/>
          <w14:ligatures w14:val="none"/>
        </w:rPr>
        <w:lastRenderedPageBreak/>
        <w:t>the public banking system. But, surprisingly, there is no inclination towards the manufacturing companies, which contributes to Sri Lankan gross domestic product. In Sri Lanka, attention has been paid to the employee performance of the apparel companies, but previous research has not paid attention to the sustainable employee performance of executive employees in the appeal sector companies in Sri Lanka, which is a very important sector for Sri Lanka. This article fills a vacuum by concentrating on a critical talent category – executive personnel in the apparel companies – and investigating the extent to which these managers are important thus, in the apparel companies, if managerial professionalism decreases, their productivity will decrease.  Surprisingly, managers and their development have not received greater attention in earlier talent management analyses, considering the essential role that they are widely recognized to play inside organizations, particularly in mediating the employee performance relationship(Garavan &amp; Sheehan, 2012). Despite the rise of outside recruiting, most businesses still view talent management as a concern for their present workforce. The conventional methods at the heart of talent management strategies are directed at current workers. Despite the focus on strategic occupations in the literature, selecting people for future progress and development is one of the main priorities in talent management practice.</w:t>
      </w:r>
    </w:p>
    <w:p w14:paraId="6D7D37A3" w14:textId="77777777" w:rsidR="008A4656" w:rsidRPr="008A4656" w:rsidRDefault="008A4656" w:rsidP="008A4656">
      <w:pPr>
        <w:numPr>
          <w:ilvl w:val="0"/>
          <w:numId w:val="4"/>
        </w:numPr>
        <w:spacing w:before="240" w:after="0" w:line="240" w:lineRule="auto"/>
        <w:ind w:left="360" w:hanging="360"/>
        <w:jc w:val="both"/>
        <w:textAlignment w:val="baseline"/>
        <w:outlineLvl w:val="0"/>
        <w:rPr>
          <w:rFonts w:ascii="Times New Roman" w:eastAsia="Times New Roman" w:hAnsi="Times New Roman" w:cs="Times New Roman"/>
          <w:b/>
          <w:bCs/>
          <w:color w:val="000000"/>
          <w:kern w:val="36"/>
          <w:sz w:val="48"/>
          <w:szCs w:val="48"/>
          <w14:ligatures w14:val="none"/>
        </w:rPr>
      </w:pPr>
      <w:r w:rsidRPr="008A4656">
        <w:rPr>
          <w:rFonts w:ascii="Times New Roman" w:eastAsia="Times New Roman" w:hAnsi="Times New Roman" w:cs="Times New Roman"/>
          <w:b/>
          <w:bCs/>
          <w:color w:val="000000"/>
          <w:kern w:val="36"/>
          <w:sz w:val="28"/>
          <w:szCs w:val="28"/>
          <w14:ligatures w14:val="none"/>
        </w:rPr>
        <w:t>Literature Review</w:t>
      </w:r>
    </w:p>
    <w:p w14:paraId="77CC5070" w14:textId="77777777" w:rsidR="008A4656" w:rsidRPr="008A4656" w:rsidRDefault="008A4656" w:rsidP="008A4656">
      <w:pPr>
        <w:numPr>
          <w:ilvl w:val="1"/>
          <w:numId w:val="3"/>
        </w:numPr>
        <w:spacing w:before="40" w:after="0" w:line="240" w:lineRule="auto"/>
        <w:ind w:left="360"/>
        <w:textAlignment w:val="baseline"/>
        <w:outlineLvl w:val="1"/>
        <w:rPr>
          <w:rFonts w:ascii="Times New Roman" w:eastAsia="Times New Roman" w:hAnsi="Times New Roman" w:cs="Times New Roman"/>
          <w:b/>
          <w:bCs/>
          <w:color w:val="000000"/>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The Relationship between Implementing Talent Management Practices and Sustainable Employee Performance.</w:t>
      </w:r>
    </w:p>
    <w:p w14:paraId="7436CC00"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management is evaluated based on policy, culture, and leadership support as well as talent development and recognition (Aljunaibi, 2014). The research's findings indicated that employees in the garment business had suitably received talent management. Employees believe that their employer is concerned about their possibilities for professional growth in the future. Additionally, employees felt that talent management maximized the best skills and was happy with the compensation and perks they got. Additionally, employees are content with their present employment, feel treated fairly, believe that the work environment aligns with their morals, feel that their quality of life is respected, feel that their ambitions are taken into consideration, and even feel that their bosses value their work.</w:t>
      </w:r>
    </w:p>
    <w:p w14:paraId="753D0AD1"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On the other hand, staff performance as measured by the amount, quality, timeliness, and effectiveness of the job as well as attendance revealed that Indonesian nurses perform at a high level. Managerial staff members are capable of completing tasks by corporate standards and are eager to put in more time than is required to provide patients with the best care possible. Additionally, they strive to uphold the standard of care provided to patients, fulfil their duties and obligations as employees, think quickly and carefully when solving problems at work, be willing to assist new hires without being asked, be knowledgeable about and proficient in using workplace facilities and equipment, operate following a standard operating procedure, and arrive at work earlier than the designated start time. Additionally, they perform a good job of preparing their work, leave the office or workplace only with the leadership's approval, and do so at the designated times.</w:t>
      </w:r>
    </w:p>
    <w:p w14:paraId="41D4E6A4"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The capacity of a company to keep its personnel inside the organization over time is referred to as employee retention. In terms of the efforts made by the employer to retain personnel inside the firm, it is regarded as a strategy. It can be quantified using straightforward data and is considered the result. Therefore, it is advised that every firm keep its top performers, especially in the current economic environment of fierce competition when rivals are often seen stealing workers from one another (Hall, 2005). According to Mokaya (2014), when a company can't keep its workers, it incurs considerable expenditures related to employee turnover, including a strain on the remaining workforce as well as costs for recruiting and training. To maximize staff productivity and talent retention, businesses must use human resource management (HRM) methods. Employee retention is crucial because if the organization's skilled workers depart in significant numbers, it will negatively impact both their overall performance as a group and the </w:t>
      </w:r>
      <w:r w:rsidRPr="008A4656">
        <w:rPr>
          <w:rFonts w:ascii="Times New Roman" w:eastAsia="Times New Roman" w:hAnsi="Times New Roman" w:cs="Times New Roman"/>
          <w:color w:val="000000"/>
          <w:kern w:val="0"/>
          <w14:ligatures w14:val="none"/>
        </w:rPr>
        <w:lastRenderedPageBreak/>
        <w:t>business's profitability. For people, businesses, and society as a whole, employee turnover is crucial (Ngo, Lau &amp; Foley, 2008).</w:t>
      </w:r>
    </w:p>
    <w:p w14:paraId="1FA0FF04"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A business can have the proper people with the knowledge and abilities to satisfy its current and future demands by engaging in talent management, which is a crucial activity. Armstrong (2014) claims that the foundation of talent management is the idea that businesses with the greatest employees are those that succeed in their companies. Consequently, it is thought of as a tool to improve organizational capabilities (Kibui, Gachunga &amp; Namusonge 2014). the "systematic recruitment, retention, and deployment of employees who are beneficial to a company about present vital positions or for future endeavours" (CIPD, 2013; Kibui et al, 2014). When utilized as a technique to manage best-in-class personnel, talent management includes the selection, training, evaluation, deployment, and retention of high-performing and high-potential individuals (Kim, Williams, Rothwell, &amp; Penoloza, 2014). Only by actively managing employee talent will talent management be able to place the appropriate people in the right roles. Many businesses view talent management as a short-term endeavour, yet the purpose of talent management is to assist organizations in achieving their long-term strategic goals (Kim et al., 2014).</w:t>
      </w:r>
    </w:p>
    <w:p w14:paraId="7E640355"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corporate world is going through an unheard-of transformation. To meet the changing demands of globalization, organizations functioning in this complicated business climate are continually engaged in downsizing and restructuring procedures, supporting mergers and acquisitions, and adopting technology improvements. (2002) Martin, Romero, Valle, and Dole. The significance of managing employees at work, and in particular, planning and managing their careers, has increased as a result of these organizational developments. People are perhaps the most precious resource in modern enterprises, so giving them a long-term, secure career is beneficial for both the company and the individual. However, it has been widely established over the last several decades that people must also take care of and advance their careers in addition to that of the business as a whole. Thus, to maximize benefits for both businesses and individuals, career management demands initiative from both parties. All high-calibre businesses want to give their staff members outstanding chances to develop both personally and professionally. The goal of work-life balance is to encourage people to be engaged and, ultimately, fulfilled. Work-life balance allows for the handling of personal (individual and family) and professional (flexible working hours, part-time employment, job sharing) concerns (Kaliannan, Perumal &amp; Dorasamy, 2016b). Simply expressed, a work-life balance seeks to maintain a healthy balance between work and personal obligations including family obligations (Michel &amp; Michel, 2015).</w:t>
      </w:r>
    </w:p>
    <w:p w14:paraId="5DE0CDA3"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sz w:val="24"/>
          <w:szCs w:val="24"/>
          <w14:ligatures w14:val="none"/>
        </w:rPr>
        <w:t>Talent management affects job performance, but only as a result of job satisfaction acting as a mediator, according to Luna-Arocas and Morley's (2015) research. Employee satisfaction acts as a mediator in the interaction between talent management and performance, according to Collings and Mellahi (2009) and Mensah (2015), whose conceptual frameworks support their claims. Another conclusion that can be drawn from sustained employee performance is that talent management refers to organizational procedures that are supportive of employees' needs. When employees are happy in their jobs, they will provide their employers with their best work Similar to how TM and performance are related, affective commitment mediates this link (Collings and Mellahi, 2009; Mensah, 2015). Affective commitment is a mediating factor between TM and employee performance, according to Oehley and Theron (2010).</w:t>
      </w:r>
    </w:p>
    <w:p w14:paraId="143DC680"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sz w:val="24"/>
          <w:szCs w:val="24"/>
          <w14:ligatures w14:val="none"/>
        </w:rPr>
        <w:t xml:space="preserve">The output of talent management is seen as mediating the relationship, according to this theory, and there is no direct correlation between it and employee performance. From the Ability, Motivation, and Opportunity (AMO) theory and the social exchange theory, we may learn something about this. According to the ability, motivation, and opportunity (AMO) hypothesis, an employee's success depends on these three factors. As a result, brilliant people have the capacity and the chance to perform because they are put in strategic roles, which encourages them to do so. As a result, motivation tends to mediate the link between talent management and employee </w:t>
      </w:r>
      <w:r w:rsidRPr="008A4656">
        <w:rPr>
          <w:rFonts w:ascii="Times New Roman" w:eastAsia="Times New Roman" w:hAnsi="Times New Roman" w:cs="Times New Roman"/>
          <w:color w:val="000000"/>
          <w:kern w:val="0"/>
          <w:sz w:val="24"/>
          <w:szCs w:val="24"/>
          <w14:ligatures w14:val="none"/>
        </w:rPr>
        <w:lastRenderedPageBreak/>
        <w:t>performance (Mensah, 2015). Similar to this, the social exchange theory (Blau, 1964; Settoon et al., 1996; Takeuchi et al., 2007) depicts an exchange connection between a corporation and its personnel. Therefore, finding, managing, and keeping outstanding workers shows an investment in those people, who are then expected to return the favour by demonstrating positive attitudes and behaviours including motivation, satisfaction, dedication, and engagement in their work.</w:t>
      </w:r>
    </w:p>
    <w:p w14:paraId="20F4DFA3"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retention" and organizational performance were shown to be positively correlated. As a result, it was shown that there is a positive and substantial association between talent retention and organizational performance, indicating that businesses must adopt retention strategies to be successful (Kontoghiorghes, 2016). "Talent retention" and employee performance were shown to be positively correlated. As a result, it was shown that there is a significant and beneficial association between talent retention and employee performance, indicating that businesses must adopt retention strategies to be successful (Dixit &amp; Arrawatia, 2018).</w:t>
      </w:r>
    </w:p>
    <w:p w14:paraId="6D34407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ab/>
        <w:t>The conception of talent and talent management, as well as talent management techniques, have received the majority of attention in earlier talent management research. The majority of these research showed how talent management and employee performance have a favourable and substantial association. Given the dearth of empirical research on the talent management concept, our study may be seen as a significant addition to the literature in this area(Aina &amp; Atan, 2020b). Checking and analysing the direct relationship between the independent variable (talent management techniques) and the dependent variable (employee performance behaviour). After that, a statistical analysis was done to determine the indirect impact of talent management practices on employee performance behaviour. Here, the t-value is higher than 2, indicating the necessity of this mediating variable in order to get the findings and establish a connection between the independent and dependent variables. The outcomes point to a partial mediation(. et al., 2019). The Talent Management and the employee performance have a good working connection. To determine the effect of the independent variable on the dependent variable, regression analysis was also performed(Wickramaaratchi &amp; Perera, 2020). Thus, the positive relationship with Talent management and employee performance. </w:t>
      </w:r>
    </w:p>
    <w:p w14:paraId="0899DD51"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11CC1604"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2.2 Conceptual framework</w:t>
      </w:r>
    </w:p>
    <w:p w14:paraId="5D7543A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sz w:val="24"/>
          <w:szCs w:val="24"/>
          <w14:ligatures w14:val="none"/>
        </w:rPr>
        <w:t> </w:t>
      </w:r>
      <w:r w:rsidRPr="008A4656">
        <w:rPr>
          <w:rFonts w:ascii="Times New Roman" w:eastAsia="Times New Roman" w:hAnsi="Times New Roman" w:cs="Times New Roman"/>
          <w:color w:val="000000"/>
          <w:kern w:val="0"/>
          <w:sz w:val="24"/>
          <w:szCs w:val="24"/>
          <w14:ligatures w14:val="none"/>
        </w:rPr>
        <w:tab/>
      </w:r>
      <w:r w:rsidRPr="008A4656">
        <w:rPr>
          <w:rFonts w:ascii="Times New Roman" w:eastAsia="Times New Roman" w:hAnsi="Times New Roman" w:cs="Times New Roman"/>
          <w:color w:val="000000"/>
          <w:kern w:val="0"/>
          <w14:ligatures w14:val="none"/>
        </w:rPr>
        <w:t>The arguments conceptualized by the researcher are graphically represented in figure 2.1. This conceptual framework is proposed to be operationalized and validated through a rigorous data collection and analysis process. The Researcher selected talent attraction, talent retention, learning and development, and career management as independent variables for the study. While the dependent variable is sustainable Employee performance. </w:t>
      </w:r>
    </w:p>
    <w:p w14:paraId="76B18AA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i/>
          <w:iCs/>
          <w:color w:val="000000"/>
          <w:kern w:val="0"/>
          <w14:ligatures w14:val="none"/>
        </w:rPr>
        <w:t>Figure 2.2   Conceptual Framework</w:t>
      </w:r>
    </w:p>
    <w:p w14:paraId="1421F85A" w14:textId="77777777" w:rsidR="008A4656" w:rsidRPr="008A4656" w:rsidRDefault="008A4656" w:rsidP="008A4656">
      <w:pPr>
        <w:spacing w:after="240" w:line="240" w:lineRule="auto"/>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kern w:val="0"/>
          <w:sz w:val="24"/>
          <w:szCs w:val="24"/>
          <w14:ligatures w14:val="none"/>
        </w:rPr>
        <w:br/>
      </w:r>
      <w:r w:rsidRPr="008A4656">
        <w:rPr>
          <w:rFonts w:ascii="Times New Roman" w:eastAsia="Times New Roman" w:hAnsi="Times New Roman" w:cs="Times New Roman"/>
          <w:kern w:val="0"/>
          <w:sz w:val="24"/>
          <w:szCs w:val="24"/>
          <w14:ligatures w14:val="none"/>
        </w:rPr>
        <w:br/>
      </w:r>
      <w:r w:rsidRPr="008A4656">
        <w:rPr>
          <w:rFonts w:ascii="Times New Roman" w:eastAsia="Times New Roman" w:hAnsi="Times New Roman" w:cs="Times New Roman"/>
          <w:kern w:val="0"/>
          <w:sz w:val="24"/>
          <w:szCs w:val="24"/>
          <w14:ligatures w14:val="none"/>
        </w:rPr>
        <w:br/>
      </w:r>
      <w:r w:rsidRPr="008A4656">
        <w:rPr>
          <w:rFonts w:ascii="Times New Roman" w:eastAsia="Times New Roman" w:hAnsi="Times New Roman" w:cs="Times New Roman"/>
          <w:kern w:val="0"/>
          <w:sz w:val="24"/>
          <w:szCs w:val="24"/>
          <w14:ligatures w14:val="none"/>
        </w:rPr>
        <w:br/>
      </w:r>
      <w:r w:rsidRPr="008A4656">
        <w:rPr>
          <w:rFonts w:ascii="Times New Roman" w:eastAsia="Times New Roman" w:hAnsi="Times New Roman" w:cs="Times New Roman"/>
          <w:kern w:val="0"/>
          <w:sz w:val="24"/>
          <w:szCs w:val="24"/>
          <w14:ligatures w14:val="none"/>
        </w:rPr>
        <w:br/>
      </w:r>
      <w:r w:rsidRPr="008A4656">
        <w:rPr>
          <w:rFonts w:ascii="Times New Roman" w:eastAsia="Times New Roman" w:hAnsi="Times New Roman" w:cs="Times New Roman"/>
          <w:kern w:val="0"/>
          <w:sz w:val="24"/>
          <w:szCs w:val="24"/>
          <w14:ligatures w14:val="none"/>
        </w:rPr>
        <w:br/>
      </w:r>
      <w:r w:rsidRPr="008A4656">
        <w:rPr>
          <w:rFonts w:ascii="Times New Roman" w:eastAsia="Times New Roman" w:hAnsi="Times New Roman" w:cs="Times New Roman"/>
          <w:kern w:val="0"/>
          <w:sz w:val="24"/>
          <w:szCs w:val="24"/>
          <w14:ligatures w14:val="none"/>
        </w:rPr>
        <w:br/>
      </w:r>
      <w:r w:rsidRPr="008A4656">
        <w:rPr>
          <w:rFonts w:ascii="Times New Roman" w:eastAsia="Times New Roman" w:hAnsi="Times New Roman" w:cs="Times New Roman"/>
          <w:kern w:val="0"/>
          <w:sz w:val="24"/>
          <w:szCs w:val="24"/>
          <w14:ligatures w14:val="none"/>
        </w:rPr>
        <w:br/>
      </w:r>
    </w:p>
    <w:p w14:paraId="76413E94"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Conceptualization (Figure 2.2) shows the theory behind the research process, and it shows how to develop and clarify the concepts. The conceptual framework indicates the relationship between the </w:t>
      </w:r>
      <w:r w:rsidRPr="008A4656">
        <w:rPr>
          <w:rFonts w:ascii="Times New Roman" w:eastAsia="Times New Roman" w:hAnsi="Times New Roman" w:cs="Times New Roman"/>
          <w:color w:val="000000"/>
          <w:kern w:val="0"/>
          <w14:ligatures w14:val="none"/>
        </w:rPr>
        <w:lastRenderedPageBreak/>
        <w:t>variables used in the present study. There are four independent variables used in this research. They are talent attraction, talent retention, learning and development, and career management. The dependent variable is sustainable Employee performance, which was proxies by employee performance and employee well-being.</w:t>
      </w:r>
    </w:p>
    <w:p w14:paraId="400AA23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H1:</w:t>
      </w:r>
      <w:r w:rsidRPr="008A4656">
        <w:rPr>
          <w:rFonts w:ascii="Times New Roman" w:eastAsia="Times New Roman" w:hAnsi="Times New Roman" w:cs="Times New Roman"/>
          <w:color w:val="000000"/>
          <w:kern w:val="0"/>
          <w14:ligatures w14:val="none"/>
        </w:rPr>
        <w:t xml:space="preserve"> There is a significant impact of implementing talent management practices on sustainable employee performance. (With Special Reference to executive-level Employees in Selected Apparel Companies in Wathupitiwala export processing Zone – Sri Lanka)</w:t>
      </w:r>
    </w:p>
    <w:p w14:paraId="72FDC190"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2.3 Hypotheses Development</w:t>
      </w:r>
    </w:p>
    <w:p w14:paraId="0BF7AA40"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hypothesis is the tentative answer to the research questions of a study. The main question addressed in this research is whether there is an impact of talent management practices on sustainable employee performance with special reference to the executive employees in the selected apparel companies in sir Lanka. Based on the research questions and literature review, the researcher has formulated the following hypotheses to achieve the objectives of this study.</w:t>
      </w:r>
    </w:p>
    <w:p w14:paraId="374B1352"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research's findings indicated that talent management has been properly provided to employees in Indonesia. Employees believe that their employers are concerned about their possibilities for professional growth in the future. Employees also felt that talent management maximized their finest skills and was happy with the compensation and perks they got. Additionally, nurses do not want to change jobs because they are happy with their current workplace, feel treated fairly, believe the work environment aligns with their morals, believe their quality of life is respected, believe their aspirations are taken into consideration and believe even their managers value their work (Cappelli &amp; Keller, 2014).</w:t>
      </w:r>
    </w:p>
    <w:p w14:paraId="563101DC"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H1</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color w:val="000000"/>
          <w:kern w:val="0"/>
          <w:sz w:val="23"/>
          <w:szCs w:val="23"/>
          <w14:ligatures w14:val="none"/>
        </w:rPr>
        <w:t xml:space="preserve">There is a </w:t>
      </w:r>
      <w:r w:rsidRPr="008A4656">
        <w:rPr>
          <w:rFonts w:ascii="Times New Roman" w:eastAsia="Times New Roman" w:hAnsi="Times New Roman" w:cs="Times New Roman"/>
          <w:color w:val="000000"/>
          <w:kern w:val="0"/>
          <w14:ligatures w14:val="none"/>
        </w:rPr>
        <w:t>significant</w:t>
      </w:r>
      <w:r w:rsidRPr="008A4656">
        <w:rPr>
          <w:rFonts w:ascii="Times New Roman" w:eastAsia="Times New Roman" w:hAnsi="Times New Roman" w:cs="Times New Roman"/>
          <w:color w:val="000000"/>
          <w:kern w:val="0"/>
          <w:sz w:val="23"/>
          <w:szCs w:val="23"/>
          <w14:ligatures w14:val="none"/>
        </w:rPr>
        <w:t xml:space="preserve"> impact </w:t>
      </w:r>
      <w:r w:rsidRPr="008A4656">
        <w:rPr>
          <w:rFonts w:ascii="Times New Roman" w:eastAsia="Times New Roman" w:hAnsi="Times New Roman" w:cs="Times New Roman"/>
          <w:color w:val="000000"/>
          <w:kern w:val="0"/>
          <w14:ligatures w14:val="none"/>
        </w:rPr>
        <w:t>of implementing talent management practices on sustainable employee performance.</w:t>
      </w:r>
    </w:p>
    <w:p w14:paraId="3121434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sz w:val="23"/>
          <w:szCs w:val="23"/>
          <w14:ligatures w14:val="none"/>
        </w:rPr>
        <w:t xml:space="preserve">H1 a </w:t>
      </w:r>
      <w:r w:rsidRPr="008A4656">
        <w:rPr>
          <w:rFonts w:ascii="Times New Roman" w:eastAsia="Times New Roman" w:hAnsi="Times New Roman" w:cs="Times New Roman"/>
          <w:color w:val="000000"/>
          <w:kern w:val="0"/>
          <w:sz w:val="23"/>
          <w:szCs w:val="23"/>
          <w14:ligatures w14:val="none"/>
        </w:rPr>
        <w:t xml:space="preserve">- There is a </w:t>
      </w:r>
      <w:r w:rsidRPr="008A4656">
        <w:rPr>
          <w:rFonts w:ascii="Times New Roman" w:eastAsia="Times New Roman" w:hAnsi="Times New Roman" w:cs="Times New Roman"/>
          <w:color w:val="000000"/>
          <w:kern w:val="0"/>
          <w14:ligatures w14:val="none"/>
        </w:rPr>
        <w:t>significant</w:t>
      </w:r>
      <w:r w:rsidRPr="008A4656">
        <w:rPr>
          <w:rFonts w:ascii="Times New Roman" w:eastAsia="Times New Roman" w:hAnsi="Times New Roman" w:cs="Times New Roman"/>
          <w:color w:val="000000"/>
          <w:kern w:val="0"/>
          <w:sz w:val="23"/>
          <w:szCs w:val="23"/>
          <w14:ligatures w14:val="none"/>
        </w:rPr>
        <w:t xml:space="preserve"> impact </w:t>
      </w:r>
      <w:r w:rsidRPr="008A4656">
        <w:rPr>
          <w:rFonts w:ascii="Times New Roman" w:eastAsia="Times New Roman" w:hAnsi="Times New Roman" w:cs="Times New Roman"/>
          <w:color w:val="000000"/>
          <w:kern w:val="0"/>
          <w14:ligatures w14:val="none"/>
        </w:rPr>
        <w:t>of implementing talent Attraction on sustainable employee performance.</w:t>
      </w:r>
    </w:p>
    <w:p w14:paraId="641F5D1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sz w:val="23"/>
          <w:szCs w:val="23"/>
          <w14:ligatures w14:val="none"/>
        </w:rPr>
        <w:t xml:space="preserve">H1 b - </w:t>
      </w:r>
      <w:r w:rsidRPr="008A4656">
        <w:rPr>
          <w:rFonts w:ascii="Times New Roman" w:eastAsia="Times New Roman" w:hAnsi="Times New Roman" w:cs="Times New Roman"/>
          <w:color w:val="000000"/>
          <w:kern w:val="0"/>
          <w:sz w:val="23"/>
          <w:szCs w:val="23"/>
          <w14:ligatures w14:val="none"/>
        </w:rPr>
        <w:t xml:space="preserve">There is a </w:t>
      </w:r>
      <w:r w:rsidRPr="008A4656">
        <w:rPr>
          <w:rFonts w:ascii="Times New Roman" w:eastAsia="Times New Roman" w:hAnsi="Times New Roman" w:cs="Times New Roman"/>
          <w:color w:val="000000"/>
          <w:kern w:val="0"/>
          <w14:ligatures w14:val="none"/>
        </w:rPr>
        <w:t>significant</w:t>
      </w:r>
      <w:r w:rsidRPr="008A4656">
        <w:rPr>
          <w:rFonts w:ascii="Times New Roman" w:eastAsia="Times New Roman" w:hAnsi="Times New Roman" w:cs="Times New Roman"/>
          <w:color w:val="000000"/>
          <w:kern w:val="0"/>
          <w:sz w:val="23"/>
          <w:szCs w:val="23"/>
          <w14:ligatures w14:val="none"/>
        </w:rPr>
        <w:t xml:space="preserve"> impact </w:t>
      </w:r>
      <w:r w:rsidRPr="008A4656">
        <w:rPr>
          <w:rFonts w:ascii="Times New Roman" w:eastAsia="Times New Roman" w:hAnsi="Times New Roman" w:cs="Times New Roman"/>
          <w:color w:val="000000"/>
          <w:kern w:val="0"/>
          <w14:ligatures w14:val="none"/>
        </w:rPr>
        <w:t>of implementing talent retention on sustainable employee performance.</w:t>
      </w:r>
    </w:p>
    <w:p w14:paraId="2242910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sz w:val="23"/>
          <w:szCs w:val="23"/>
          <w14:ligatures w14:val="none"/>
        </w:rPr>
        <w:t xml:space="preserve"> H1 c - </w:t>
      </w:r>
      <w:r w:rsidRPr="008A4656">
        <w:rPr>
          <w:rFonts w:ascii="Times New Roman" w:eastAsia="Times New Roman" w:hAnsi="Times New Roman" w:cs="Times New Roman"/>
          <w:color w:val="000000"/>
          <w:kern w:val="0"/>
          <w:sz w:val="23"/>
          <w:szCs w:val="23"/>
          <w14:ligatures w14:val="none"/>
        </w:rPr>
        <w:t xml:space="preserve">There is a </w:t>
      </w:r>
      <w:r w:rsidRPr="008A4656">
        <w:rPr>
          <w:rFonts w:ascii="Times New Roman" w:eastAsia="Times New Roman" w:hAnsi="Times New Roman" w:cs="Times New Roman"/>
          <w:color w:val="000000"/>
          <w:kern w:val="0"/>
          <w14:ligatures w14:val="none"/>
        </w:rPr>
        <w:t>significant</w:t>
      </w:r>
      <w:r w:rsidRPr="008A4656">
        <w:rPr>
          <w:rFonts w:ascii="Times New Roman" w:eastAsia="Times New Roman" w:hAnsi="Times New Roman" w:cs="Times New Roman"/>
          <w:color w:val="000000"/>
          <w:kern w:val="0"/>
          <w:sz w:val="23"/>
          <w:szCs w:val="23"/>
          <w14:ligatures w14:val="none"/>
        </w:rPr>
        <w:t xml:space="preserve"> impact </w:t>
      </w:r>
      <w:r w:rsidRPr="008A4656">
        <w:rPr>
          <w:rFonts w:ascii="Times New Roman" w:eastAsia="Times New Roman" w:hAnsi="Times New Roman" w:cs="Times New Roman"/>
          <w:color w:val="000000"/>
          <w:kern w:val="0"/>
          <w14:ligatures w14:val="none"/>
        </w:rPr>
        <w:t>of implementing Learning and Development on sustainable employee performance </w:t>
      </w:r>
    </w:p>
    <w:p w14:paraId="6EC254F7"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sz w:val="23"/>
          <w:szCs w:val="23"/>
          <w14:ligatures w14:val="none"/>
        </w:rPr>
        <w:t xml:space="preserve">H1 d - </w:t>
      </w:r>
      <w:r w:rsidRPr="008A4656">
        <w:rPr>
          <w:rFonts w:ascii="Times New Roman" w:eastAsia="Times New Roman" w:hAnsi="Times New Roman" w:cs="Times New Roman"/>
          <w:color w:val="000000"/>
          <w:kern w:val="0"/>
          <w:sz w:val="23"/>
          <w:szCs w:val="23"/>
          <w14:ligatures w14:val="none"/>
        </w:rPr>
        <w:t xml:space="preserve">There is a </w:t>
      </w:r>
      <w:r w:rsidRPr="008A4656">
        <w:rPr>
          <w:rFonts w:ascii="Times New Roman" w:eastAsia="Times New Roman" w:hAnsi="Times New Roman" w:cs="Times New Roman"/>
          <w:color w:val="000000"/>
          <w:kern w:val="0"/>
          <w14:ligatures w14:val="none"/>
        </w:rPr>
        <w:t>significant</w:t>
      </w:r>
      <w:r w:rsidRPr="008A4656">
        <w:rPr>
          <w:rFonts w:ascii="Times New Roman" w:eastAsia="Times New Roman" w:hAnsi="Times New Roman" w:cs="Times New Roman"/>
          <w:color w:val="000000"/>
          <w:kern w:val="0"/>
          <w:sz w:val="23"/>
          <w:szCs w:val="23"/>
          <w14:ligatures w14:val="none"/>
        </w:rPr>
        <w:t xml:space="preserve"> impact </w:t>
      </w:r>
      <w:r w:rsidRPr="008A4656">
        <w:rPr>
          <w:rFonts w:ascii="Times New Roman" w:eastAsia="Times New Roman" w:hAnsi="Times New Roman" w:cs="Times New Roman"/>
          <w:color w:val="000000"/>
          <w:kern w:val="0"/>
          <w14:ligatures w14:val="none"/>
        </w:rPr>
        <w:t>of implementing Career management on sustainable employee performance </w:t>
      </w:r>
    </w:p>
    <w:p w14:paraId="30427401" w14:textId="77777777" w:rsidR="008A4656" w:rsidRPr="008A4656" w:rsidRDefault="008A4656" w:rsidP="008A4656">
      <w:pPr>
        <w:spacing w:before="240" w:after="0" w:line="240" w:lineRule="auto"/>
        <w:jc w:val="both"/>
        <w:outlineLvl w:val="0"/>
        <w:rPr>
          <w:rFonts w:ascii="Times New Roman" w:eastAsia="Times New Roman" w:hAnsi="Times New Roman" w:cs="Times New Roman"/>
          <w:b/>
          <w:bCs/>
          <w:kern w:val="36"/>
          <w:sz w:val="48"/>
          <w:szCs w:val="48"/>
          <w14:ligatures w14:val="none"/>
        </w:rPr>
      </w:pPr>
      <w:r w:rsidRPr="008A4656">
        <w:rPr>
          <w:rFonts w:ascii="Times New Roman" w:eastAsia="Times New Roman" w:hAnsi="Times New Roman" w:cs="Times New Roman"/>
          <w:b/>
          <w:bCs/>
          <w:color w:val="000000"/>
          <w:kern w:val="36"/>
          <w:sz w:val="28"/>
          <w:szCs w:val="28"/>
          <w14:ligatures w14:val="none"/>
        </w:rPr>
        <w:t>3. Research Methodology</w:t>
      </w:r>
    </w:p>
    <w:p w14:paraId="00690FFA"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3.1. Research Strategy</w:t>
      </w:r>
    </w:p>
    <w:p w14:paraId="5996937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ab/>
        <w:t>The research strategy will enable to answer research questions and meet the objectives of the study, Saunders has explained a few strategies which are frequently followed by researchers, grounded theory, ethnography, and archival research, research Strategy will be guided by research questions and the objectives, the extent of existing knowledge, the amount of time and other resources have available.</w:t>
      </w:r>
    </w:p>
    <w:p w14:paraId="00A4AF3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ab/>
        <w:t>Survey strategy is a popular and common strategy in business and management research and is most frequently used to answer who, what, where, and how many questions. It, therefore, tends to be used for exploratory research. By considering the above reasons and the research problem and the objectives current researcher has used a survey strategy.</w:t>
      </w:r>
    </w:p>
    <w:p w14:paraId="48E30841"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3.2. Data collection</w:t>
      </w:r>
    </w:p>
    <w:p w14:paraId="48C08AB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researcher used a self-administered questionnaire as a method of data collection. This questionnaire was designed as a Google form and physical data collection.</w:t>
      </w:r>
    </w:p>
    <w:p w14:paraId="1D958EE1" w14:textId="77777777" w:rsidR="008A4656" w:rsidRPr="008A4656" w:rsidRDefault="008A4656" w:rsidP="008A4656">
      <w:pPr>
        <w:spacing w:before="40" w:after="0" w:line="240" w:lineRule="auto"/>
        <w:outlineLvl w:val="2"/>
        <w:rPr>
          <w:rFonts w:ascii="Times New Roman" w:eastAsia="Times New Roman" w:hAnsi="Times New Roman" w:cs="Times New Roman"/>
          <w:b/>
          <w:bCs/>
          <w:kern w:val="0"/>
          <w:sz w:val="27"/>
          <w:szCs w:val="27"/>
          <w14:ligatures w14:val="none"/>
        </w:rPr>
      </w:pPr>
      <w:r w:rsidRPr="008A4656">
        <w:rPr>
          <w:rFonts w:ascii="Times New Roman" w:eastAsia="Times New Roman" w:hAnsi="Times New Roman" w:cs="Times New Roman"/>
          <w:i/>
          <w:iCs/>
          <w:color w:val="000000"/>
          <w:kern w:val="0"/>
          <w:sz w:val="24"/>
          <w:szCs w:val="24"/>
          <w14:ligatures w14:val="none"/>
        </w:rPr>
        <w:lastRenderedPageBreak/>
        <w:t>3.2.1 Type of Data</w:t>
      </w:r>
    </w:p>
    <w:p w14:paraId="0D971AC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To gather primary data researcher used a self-administered questionnaire as the data collection instrument. The questionnaire consisted of two parts. Part-A consisted of demographic information of the respondents and part B consisted of questions that covered dependent and independent variables. When it comes to the measurement scale to measure the variables, the researcher used a five-point Likert scale which provides five possible answers to a statement that allows respondents to indicate negative to positive agreements or strength of feeling regarding the question or statement.</w:t>
      </w:r>
    </w:p>
    <w:p w14:paraId="78EAA08D" w14:textId="77777777" w:rsidR="008A4656" w:rsidRPr="008A4656" w:rsidRDefault="008A4656" w:rsidP="008A4656">
      <w:pPr>
        <w:spacing w:before="40" w:after="0" w:line="240" w:lineRule="auto"/>
        <w:outlineLvl w:val="2"/>
        <w:rPr>
          <w:rFonts w:ascii="Times New Roman" w:eastAsia="Times New Roman" w:hAnsi="Times New Roman" w:cs="Times New Roman"/>
          <w:b/>
          <w:bCs/>
          <w:kern w:val="0"/>
          <w:sz w:val="27"/>
          <w:szCs w:val="27"/>
          <w14:ligatures w14:val="none"/>
        </w:rPr>
      </w:pPr>
      <w:r w:rsidRPr="008A4656">
        <w:rPr>
          <w:rFonts w:ascii="Times New Roman" w:eastAsia="Times New Roman" w:hAnsi="Times New Roman" w:cs="Times New Roman"/>
          <w:i/>
          <w:iCs/>
          <w:color w:val="000000"/>
          <w:kern w:val="0"/>
          <w:sz w:val="24"/>
          <w:szCs w:val="24"/>
          <w14:ligatures w14:val="none"/>
        </w:rPr>
        <w:t>3.2.2 Data Entering and Analysis</w:t>
      </w:r>
    </w:p>
    <w:p w14:paraId="5C1E28C6"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data analysis of this research is aimed at determining the impact and permanent activation of talent management. Statistical techniques should be used to analyze the collected data to achieve the objective of the research. Quantitative data analysis can include the calculation of variable frequencies and the differences between variables. The quantitative approach is usually involved in finding evidence to support or refute the hypotheses proposed in the study. The researcher analyzes the data using analytics software called SPSS. In the investigation, use several statistical measurements to address the research questions to conclude. Use mean value to identify the adoption of talent management practices in the selected companies. The method of correlation is used to identify the significant association of talent management practices with sustainable Employee performance. The regression analysis is used to examine the impact of talent management practices on sustainable Employee performance.</w:t>
      </w:r>
    </w:p>
    <w:p w14:paraId="0C0F0EF9"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When it comes to the data analysis design, the researcher analyzed data through descriptive and inferential statistics by using the Statistical Package for Social Sciences (SPSS)26 and Microsoft excel. Furthermore, the questionnaire was used to collect data and through the collected data, reliability, validity, descriptive statistics of the sample, and inferential statistics were used to test hypotheses and further recommendations. The discriminant validity is formed once there is a considerable difference between the uncontrolled and controlled models. We checked all ten pairwise combinations of the five constructs.</w:t>
      </w:r>
    </w:p>
    <w:p w14:paraId="38BE0E2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6E326BCC"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3.3 Data Analysis and Results</w:t>
      </w:r>
    </w:p>
    <w:p w14:paraId="1F5E6BB2" w14:textId="77777777" w:rsidR="008A4656" w:rsidRPr="008A4656" w:rsidRDefault="008A4656" w:rsidP="008A4656">
      <w:pPr>
        <w:spacing w:before="40" w:after="0" w:line="240" w:lineRule="auto"/>
        <w:outlineLvl w:val="2"/>
        <w:rPr>
          <w:rFonts w:ascii="Times New Roman" w:eastAsia="Times New Roman" w:hAnsi="Times New Roman" w:cs="Times New Roman"/>
          <w:b/>
          <w:bCs/>
          <w:kern w:val="0"/>
          <w:sz w:val="27"/>
          <w:szCs w:val="27"/>
          <w14:ligatures w14:val="none"/>
        </w:rPr>
      </w:pPr>
      <w:r w:rsidRPr="008A4656">
        <w:rPr>
          <w:rFonts w:ascii="Times New Roman" w:eastAsia="Times New Roman" w:hAnsi="Times New Roman" w:cs="Times New Roman"/>
          <w:i/>
          <w:iCs/>
          <w:color w:val="000000"/>
          <w:kern w:val="0"/>
          <w:sz w:val="24"/>
          <w:szCs w:val="24"/>
          <w14:ligatures w14:val="none"/>
        </w:rPr>
        <w:t>3.3.1. Study Response</w:t>
      </w:r>
    </w:p>
    <w:p w14:paraId="04564570"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To collect the primary data from respondents, the author distributes 120 questionnaires among executive employees via e-mails, physically, and linked. The author distributes google forms on online platforms to collect primary data and get back 79 google forms from respondents and physical data collected from 26 respondents. In this research study, the effective response rate was 87.75%, indicating that the researcher got enough primary data to continue further analysis.</w:t>
      </w:r>
    </w:p>
    <w:p w14:paraId="7CB28EE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Table 3.3.1 Study Response </w:t>
      </w:r>
    </w:p>
    <w:tbl>
      <w:tblPr>
        <w:tblW w:w="0" w:type="auto"/>
        <w:tblCellMar>
          <w:top w:w="15" w:type="dxa"/>
          <w:left w:w="15" w:type="dxa"/>
          <w:bottom w:w="15" w:type="dxa"/>
          <w:right w:w="15" w:type="dxa"/>
        </w:tblCellMar>
        <w:tblLook w:val="04A0" w:firstRow="1" w:lastRow="0" w:firstColumn="1" w:lastColumn="0" w:noHBand="0" w:noVBand="1"/>
      </w:tblPr>
      <w:tblGrid>
        <w:gridCol w:w="3700"/>
        <w:gridCol w:w="2757"/>
        <w:gridCol w:w="1394"/>
        <w:gridCol w:w="1499"/>
      </w:tblGrid>
      <w:tr w:rsidR="008A4656" w:rsidRPr="008A4656" w14:paraId="0F5BCFF1" w14:textId="77777777" w:rsidTr="008A4656">
        <w:trPr>
          <w:trHeight w:val="1106"/>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2072F4"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Total no of the distributed questionnaire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CE6E86A"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Total returned questionnaire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6EE1F4"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Not returned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5DF375D"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Responds rate</w:t>
            </w:r>
          </w:p>
        </w:tc>
      </w:tr>
      <w:tr w:rsidR="008A4656" w:rsidRPr="008A4656" w14:paraId="1A8D2E3B" w14:textId="77777777" w:rsidTr="008A465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0450C6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03FA43BC"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120</w:t>
            </w:r>
          </w:p>
          <w:p w14:paraId="33053520"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D3DE72"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009A2BF"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CB51903"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87.75%</w:t>
            </w:r>
          </w:p>
        </w:tc>
      </w:tr>
    </w:tbl>
    <w:p w14:paraId="35336006" w14:textId="77777777" w:rsidR="008A4656" w:rsidRPr="008A4656" w:rsidRDefault="008A4656" w:rsidP="008A4656">
      <w:pPr>
        <w:spacing w:after="200" w:line="240" w:lineRule="auto"/>
        <w:jc w:val="both"/>
        <w:rPr>
          <w:rFonts w:ascii="Times New Roman" w:eastAsia="Times New Roman" w:hAnsi="Times New Roman" w:cs="Times New Roman"/>
          <w:kern w:val="0"/>
          <w:sz w:val="24"/>
          <w:szCs w:val="24"/>
          <w14:ligatures w14:val="none"/>
        </w:rPr>
      </w:pPr>
      <w:r w:rsidRPr="008A4656">
        <w:rPr>
          <w:rFonts w:ascii="Cambria" w:eastAsia="Times New Roman" w:hAnsi="Cambria" w:cs="Times New Roman"/>
          <w:i/>
          <w:iCs/>
          <w:color w:val="44546A"/>
          <w:kern w:val="0"/>
          <w:sz w:val="18"/>
          <w:szCs w:val="18"/>
          <w14:ligatures w14:val="none"/>
        </w:rPr>
        <w:t xml:space="preserve"> </w:t>
      </w:r>
      <w:r w:rsidRPr="008A4656">
        <w:rPr>
          <w:rFonts w:ascii="Times New Roman" w:eastAsia="Times New Roman" w:hAnsi="Times New Roman" w:cs="Times New Roman"/>
          <w:i/>
          <w:iCs/>
          <w:color w:val="44546A"/>
          <w:kern w:val="0"/>
          <w14:ligatures w14:val="none"/>
        </w:rPr>
        <w:t>(Source: Survey Data,2023</w:t>
      </w:r>
      <w:r w:rsidRPr="008A4656">
        <w:rPr>
          <w:rFonts w:ascii="Cambria" w:eastAsia="Times New Roman" w:hAnsi="Cambria" w:cs="Times New Roman"/>
          <w:i/>
          <w:iCs/>
          <w:color w:val="44546A"/>
          <w:kern w:val="0"/>
          <w:sz w:val="18"/>
          <w:szCs w:val="18"/>
          <w14:ligatures w14:val="none"/>
        </w:rPr>
        <w:t>)</w:t>
      </w:r>
    </w:p>
    <w:p w14:paraId="0EF79E9E"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3.4. Normality</w:t>
      </w:r>
    </w:p>
    <w:p w14:paraId="4C8CCBE5"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5076E862" w14:textId="77777777" w:rsidR="008A4656" w:rsidRPr="008A4656" w:rsidRDefault="008A4656" w:rsidP="008A4656">
      <w:pPr>
        <w:spacing w:after="20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Table 3.4. Sustainable Employee Performance </w:t>
      </w:r>
    </w:p>
    <w:tbl>
      <w:tblPr>
        <w:tblW w:w="0" w:type="auto"/>
        <w:tblCellMar>
          <w:top w:w="15" w:type="dxa"/>
          <w:left w:w="15" w:type="dxa"/>
          <w:bottom w:w="15" w:type="dxa"/>
          <w:right w:w="15" w:type="dxa"/>
        </w:tblCellMar>
        <w:tblLook w:val="04A0" w:firstRow="1" w:lastRow="0" w:firstColumn="1" w:lastColumn="0" w:noHBand="0" w:noVBand="1"/>
      </w:tblPr>
      <w:tblGrid>
        <w:gridCol w:w="1335"/>
        <w:gridCol w:w="540"/>
        <w:gridCol w:w="1114"/>
        <w:gridCol w:w="1147"/>
        <w:gridCol w:w="735"/>
        <w:gridCol w:w="1079"/>
        <w:gridCol w:w="941"/>
        <w:gridCol w:w="746"/>
        <w:gridCol w:w="941"/>
        <w:gridCol w:w="746"/>
        <w:gridCol w:w="36"/>
      </w:tblGrid>
      <w:tr w:rsidR="008A4656" w:rsidRPr="008A4656" w14:paraId="55AC8847" w14:textId="77777777" w:rsidTr="008A4656">
        <w:trPr>
          <w:trHeight w:val="330"/>
        </w:trPr>
        <w:tc>
          <w:tcPr>
            <w:tcW w:w="0" w:type="auto"/>
            <w:vMerge w:val="restart"/>
            <w:tcBorders>
              <w:top w:val="single" w:sz="4" w:space="0" w:color="000000"/>
            </w:tcBorders>
            <w:tcMar>
              <w:top w:w="0" w:type="dxa"/>
              <w:left w:w="115" w:type="dxa"/>
              <w:bottom w:w="0" w:type="dxa"/>
              <w:right w:w="115" w:type="dxa"/>
            </w:tcMar>
            <w:vAlign w:val="center"/>
            <w:hideMark/>
          </w:tcPr>
          <w:p w14:paraId="7CBDC96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lastRenderedPageBreak/>
              <w:t> </w:t>
            </w:r>
          </w:p>
        </w:tc>
        <w:tc>
          <w:tcPr>
            <w:tcW w:w="0" w:type="auto"/>
            <w:vMerge w:val="restart"/>
            <w:tcBorders>
              <w:top w:val="single" w:sz="4" w:space="0" w:color="000000"/>
            </w:tcBorders>
            <w:tcMar>
              <w:top w:w="0" w:type="dxa"/>
              <w:left w:w="115" w:type="dxa"/>
              <w:bottom w:w="0" w:type="dxa"/>
              <w:right w:w="115" w:type="dxa"/>
            </w:tcMar>
            <w:vAlign w:val="center"/>
            <w:hideMark/>
          </w:tcPr>
          <w:p w14:paraId="17E51B9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N</w:t>
            </w:r>
          </w:p>
        </w:tc>
        <w:tc>
          <w:tcPr>
            <w:tcW w:w="0" w:type="auto"/>
            <w:vMerge w:val="restart"/>
            <w:tcBorders>
              <w:top w:val="single" w:sz="4" w:space="0" w:color="000000"/>
            </w:tcBorders>
            <w:tcMar>
              <w:top w:w="0" w:type="dxa"/>
              <w:left w:w="115" w:type="dxa"/>
              <w:bottom w:w="0" w:type="dxa"/>
              <w:right w:w="115" w:type="dxa"/>
            </w:tcMar>
            <w:vAlign w:val="center"/>
            <w:hideMark/>
          </w:tcPr>
          <w:p w14:paraId="4B5F295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Minimum</w:t>
            </w:r>
          </w:p>
        </w:tc>
        <w:tc>
          <w:tcPr>
            <w:tcW w:w="0" w:type="auto"/>
            <w:vMerge w:val="restart"/>
            <w:tcBorders>
              <w:top w:val="single" w:sz="4" w:space="0" w:color="000000"/>
            </w:tcBorders>
            <w:tcMar>
              <w:top w:w="0" w:type="dxa"/>
              <w:left w:w="115" w:type="dxa"/>
              <w:bottom w:w="0" w:type="dxa"/>
              <w:right w:w="115" w:type="dxa"/>
            </w:tcMar>
            <w:vAlign w:val="center"/>
            <w:hideMark/>
          </w:tcPr>
          <w:p w14:paraId="1CC2F4FC"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Maximum</w:t>
            </w:r>
          </w:p>
        </w:tc>
        <w:tc>
          <w:tcPr>
            <w:tcW w:w="0" w:type="auto"/>
            <w:vMerge w:val="restart"/>
            <w:tcBorders>
              <w:top w:val="single" w:sz="4" w:space="0" w:color="000000"/>
            </w:tcBorders>
            <w:tcMar>
              <w:top w:w="0" w:type="dxa"/>
              <w:left w:w="115" w:type="dxa"/>
              <w:bottom w:w="0" w:type="dxa"/>
              <w:right w:w="115" w:type="dxa"/>
            </w:tcMar>
            <w:vAlign w:val="center"/>
            <w:hideMark/>
          </w:tcPr>
          <w:p w14:paraId="7E3D285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Mean</w:t>
            </w:r>
          </w:p>
        </w:tc>
        <w:tc>
          <w:tcPr>
            <w:tcW w:w="0" w:type="auto"/>
            <w:vMerge w:val="restart"/>
            <w:tcBorders>
              <w:top w:val="single" w:sz="4" w:space="0" w:color="000000"/>
            </w:tcBorders>
            <w:tcMar>
              <w:top w:w="0" w:type="dxa"/>
              <w:left w:w="115" w:type="dxa"/>
              <w:bottom w:w="0" w:type="dxa"/>
              <w:right w:w="115" w:type="dxa"/>
            </w:tcMar>
            <w:vAlign w:val="center"/>
            <w:hideMark/>
          </w:tcPr>
          <w:p w14:paraId="0B422FD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Std. Deviation</w:t>
            </w:r>
          </w:p>
        </w:tc>
        <w:tc>
          <w:tcPr>
            <w:tcW w:w="0" w:type="auto"/>
            <w:gridSpan w:val="2"/>
            <w:tcBorders>
              <w:top w:val="single" w:sz="4" w:space="0" w:color="000000"/>
            </w:tcBorders>
            <w:tcMar>
              <w:top w:w="0" w:type="dxa"/>
              <w:left w:w="115" w:type="dxa"/>
              <w:bottom w:w="0" w:type="dxa"/>
              <w:right w:w="115" w:type="dxa"/>
            </w:tcMar>
            <w:vAlign w:val="center"/>
            <w:hideMark/>
          </w:tcPr>
          <w:p w14:paraId="0531D32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Skewness</w:t>
            </w:r>
          </w:p>
        </w:tc>
        <w:tc>
          <w:tcPr>
            <w:tcW w:w="0" w:type="auto"/>
            <w:gridSpan w:val="3"/>
            <w:tcBorders>
              <w:top w:val="single" w:sz="4" w:space="0" w:color="000000"/>
            </w:tcBorders>
            <w:tcMar>
              <w:top w:w="0" w:type="dxa"/>
              <w:left w:w="115" w:type="dxa"/>
              <w:bottom w:w="0" w:type="dxa"/>
              <w:right w:w="115" w:type="dxa"/>
            </w:tcMar>
            <w:vAlign w:val="center"/>
            <w:hideMark/>
          </w:tcPr>
          <w:p w14:paraId="637D36C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Kurtosis</w:t>
            </w:r>
          </w:p>
        </w:tc>
      </w:tr>
      <w:tr w:rsidR="008A4656" w:rsidRPr="008A4656" w14:paraId="50EB9028" w14:textId="77777777" w:rsidTr="008A4656">
        <w:trPr>
          <w:trHeight w:val="645"/>
        </w:trPr>
        <w:tc>
          <w:tcPr>
            <w:tcW w:w="0" w:type="auto"/>
            <w:vMerge/>
            <w:tcBorders>
              <w:top w:val="single" w:sz="4" w:space="0" w:color="000000"/>
            </w:tcBorders>
            <w:vAlign w:val="center"/>
            <w:hideMark/>
          </w:tcPr>
          <w:p w14:paraId="56F4E6E8"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tcBorders>
            <w:vAlign w:val="center"/>
            <w:hideMark/>
          </w:tcPr>
          <w:p w14:paraId="0C4B2754"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tcBorders>
            <w:vAlign w:val="center"/>
            <w:hideMark/>
          </w:tcPr>
          <w:p w14:paraId="3A307B36"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tcBorders>
            <w:vAlign w:val="center"/>
            <w:hideMark/>
          </w:tcPr>
          <w:p w14:paraId="70F39B35"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tcBorders>
            <w:vAlign w:val="center"/>
            <w:hideMark/>
          </w:tcPr>
          <w:p w14:paraId="4C96433A"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tcBorders>
            <w:vAlign w:val="center"/>
            <w:hideMark/>
          </w:tcPr>
          <w:p w14:paraId="3B9DF564"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tcMar>
              <w:top w:w="0" w:type="dxa"/>
              <w:left w:w="115" w:type="dxa"/>
              <w:bottom w:w="0" w:type="dxa"/>
              <w:right w:w="115" w:type="dxa"/>
            </w:tcMar>
            <w:vAlign w:val="center"/>
            <w:hideMark/>
          </w:tcPr>
          <w:p w14:paraId="35DBD7B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Statistic</w:t>
            </w:r>
          </w:p>
        </w:tc>
        <w:tc>
          <w:tcPr>
            <w:tcW w:w="0" w:type="auto"/>
            <w:tcBorders>
              <w:bottom w:val="single" w:sz="4" w:space="0" w:color="000000"/>
            </w:tcBorders>
            <w:tcMar>
              <w:top w:w="0" w:type="dxa"/>
              <w:left w:w="115" w:type="dxa"/>
              <w:bottom w:w="0" w:type="dxa"/>
              <w:right w:w="115" w:type="dxa"/>
            </w:tcMar>
            <w:vAlign w:val="center"/>
            <w:hideMark/>
          </w:tcPr>
          <w:p w14:paraId="4DEE7D6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Std. Error</w:t>
            </w:r>
          </w:p>
        </w:tc>
        <w:tc>
          <w:tcPr>
            <w:tcW w:w="0" w:type="auto"/>
            <w:tcBorders>
              <w:bottom w:val="single" w:sz="4" w:space="0" w:color="000000"/>
            </w:tcBorders>
            <w:tcMar>
              <w:top w:w="0" w:type="dxa"/>
              <w:left w:w="115" w:type="dxa"/>
              <w:bottom w:w="0" w:type="dxa"/>
              <w:right w:w="115" w:type="dxa"/>
            </w:tcMar>
            <w:vAlign w:val="center"/>
            <w:hideMark/>
          </w:tcPr>
          <w:p w14:paraId="514D21D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Statistic</w:t>
            </w:r>
          </w:p>
        </w:tc>
        <w:tc>
          <w:tcPr>
            <w:tcW w:w="0" w:type="auto"/>
            <w:tcBorders>
              <w:bottom w:val="single" w:sz="4" w:space="0" w:color="000000"/>
            </w:tcBorders>
            <w:tcMar>
              <w:top w:w="0" w:type="dxa"/>
              <w:left w:w="115" w:type="dxa"/>
              <w:bottom w:w="0" w:type="dxa"/>
              <w:right w:w="115" w:type="dxa"/>
            </w:tcMar>
            <w:vAlign w:val="center"/>
            <w:hideMark/>
          </w:tcPr>
          <w:p w14:paraId="171938D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Std. Error</w:t>
            </w:r>
          </w:p>
        </w:tc>
        <w:tc>
          <w:tcPr>
            <w:tcW w:w="0" w:type="auto"/>
            <w:vAlign w:val="center"/>
            <w:hideMark/>
          </w:tcPr>
          <w:p w14:paraId="3DA72963"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25B29EC0" w14:textId="77777777" w:rsidTr="008A4656">
        <w:trPr>
          <w:trHeight w:val="1412"/>
        </w:trPr>
        <w:tc>
          <w:tcPr>
            <w:tcW w:w="0" w:type="auto"/>
            <w:tcBorders>
              <w:top w:val="single" w:sz="4" w:space="0" w:color="000000"/>
              <w:right w:val="single" w:sz="4" w:space="0" w:color="000000"/>
            </w:tcBorders>
            <w:tcMar>
              <w:top w:w="0" w:type="dxa"/>
              <w:left w:w="115" w:type="dxa"/>
              <w:bottom w:w="0" w:type="dxa"/>
              <w:right w:w="115" w:type="dxa"/>
            </w:tcMar>
            <w:vAlign w:val="center"/>
            <w:hideMark/>
          </w:tcPr>
          <w:p w14:paraId="78063C8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Sustainable Employee Performance </w:t>
            </w:r>
          </w:p>
        </w:tc>
        <w:tc>
          <w:tcPr>
            <w:tcW w:w="0" w:type="auto"/>
            <w:tcBorders>
              <w:top w:val="single" w:sz="4" w:space="0" w:color="000000"/>
              <w:left w:val="single" w:sz="4" w:space="0" w:color="000000"/>
            </w:tcBorders>
            <w:tcMar>
              <w:top w:w="0" w:type="dxa"/>
              <w:left w:w="115" w:type="dxa"/>
              <w:bottom w:w="0" w:type="dxa"/>
              <w:right w:w="115" w:type="dxa"/>
            </w:tcMar>
            <w:vAlign w:val="center"/>
            <w:hideMark/>
          </w:tcPr>
          <w:p w14:paraId="224CD36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105</w:t>
            </w:r>
          </w:p>
        </w:tc>
        <w:tc>
          <w:tcPr>
            <w:tcW w:w="0" w:type="auto"/>
            <w:tcBorders>
              <w:top w:val="single" w:sz="4" w:space="0" w:color="000000"/>
            </w:tcBorders>
            <w:tcMar>
              <w:top w:w="0" w:type="dxa"/>
              <w:left w:w="115" w:type="dxa"/>
              <w:bottom w:w="0" w:type="dxa"/>
              <w:right w:w="115" w:type="dxa"/>
            </w:tcMar>
            <w:vAlign w:val="center"/>
            <w:hideMark/>
          </w:tcPr>
          <w:p w14:paraId="7856A72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2.33</w:t>
            </w:r>
          </w:p>
        </w:tc>
        <w:tc>
          <w:tcPr>
            <w:tcW w:w="0" w:type="auto"/>
            <w:tcBorders>
              <w:top w:val="single" w:sz="4" w:space="0" w:color="000000"/>
            </w:tcBorders>
            <w:tcMar>
              <w:top w:w="0" w:type="dxa"/>
              <w:left w:w="115" w:type="dxa"/>
              <w:bottom w:w="0" w:type="dxa"/>
              <w:right w:w="115" w:type="dxa"/>
            </w:tcMar>
            <w:vAlign w:val="center"/>
            <w:hideMark/>
          </w:tcPr>
          <w:p w14:paraId="2F5663D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4.87</w:t>
            </w:r>
          </w:p>
        </w:tc>
        <w:tc>
          <w:tcPr>
            <w:tcW w:w="0" w:type="auto"/>
            <w:tcBorders>
              <w:top w:val="single" w:sz="4" w:space="0" w:color="000000"/>
            </w:tcBorders>
            <w:tcMar>
              <w:top w:w="0" w:type="dxa"/>
              <w:left w:w="115" w:type="dxa"/>
              <w:bottom w:w="0" w:type="dxa"/>
              <w:right w:w="115" w:type="dxa"/>
            </w:tcMar>
            <w:vAlign w:val="center"/>
            <w:hideMark/>
          </w:tcPr>
          <w:p w14:paraId="2042358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3.95</w:t>
            </w:r>
          </w:p>
        </w:tc>
        <w:tc>
          <w:tcPr>
            <w:tcW w:w="0" w:type="auto"/>
            <w:tcBorders>
              <w:top w:val="single" w:sz="4" w:space="0" w:color="000000"/>
            </w:tcBorders>
            <w:tcMar>
              <w:top w:w="0" w:type="dxa"/>
              <w:left w:w="115" w:type="dxa"/>
              <w:bottom w:w="0" w:type="dxa"/>
              <w:right w:w="115" w:type="dxa"/>
            </w:tcMar>
            <w:vAlign w:val="center"/>
            <w:hideMark/>
          </w:tcPr>
          <w:p w14:paraId="270D76B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0.44</w:t>
            </w:r>
          </w:p>
        </w:tc>
        <w:tc>
          <w:tcPr>
            <w:tcW w:w="0" w:type="auto"/>
            <w:tcBorders>
              <w:top w:val="single" w:sz="4" w:space="0" w:color="000000"/>
            </w:tcBorders>
            <w:tcMar>
              <w:top w:w="0" w:type="dxa"/>
              <w:left w:w="115" w:type="dxa"/>
              <w:bottom w:w="0" w:type="dxa"/>
              <w:right w:w="115" w:type="dxa"/>
            </w:tcMar>
            <w:vAlign w:val="center"/>
            <w:hideMark/>
          </w:tcPr>
          <w:p w14:paraId="4A90BE3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-1.04</w:t>
            </w:r>
          </w:p>
        </w:tc>
        <w:tc>
          <w:tcPr>
            <w:tcW w:w="0" w:type="auto"/>
            <w:tcBorders>
              <w:top w:val="single" w:sz="4" w:space="0" w:color="000000"/>
            </w:tcBorders>
            <w:tcMar>
              <w:top w:w="0" w:type="dxa"/>
              <w:left w:w="115" w:type="dxa"/>
              <w:bottom w:w="0" w:type="dxa"/>
              <w:right w:w="115" w:type="dxa"/>
            </w:tcMar>
            <w:vAlign w:val="center"/>
            <w:hideMark/>
          </w:tcPr>
          <w:p w14:paraId="2DDE65D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0.236</w:t>
            </w:r>
          </w:p>
        </w:tc>
        <w:tc>
          <w:tcPr>
            <w:tcW w:w="0" w:type="auto"/>
            <w:tcBorders>
              <w:top w:val="single" w:sz="4" w:space="0" w:color="000000"/>
            </w:tcBorders>
            <w:tcMar>
              <w:top w:w="0" w:type="dxa"/>
              <w:left w:w="115" w:type="dxa"/>
              <w:bottom w:w="0" w:type="dxa"/>
              <w:right w:w="115" w:type="dxa"/>
            </w:tcMar>
            <w:vAlign w:val="center"/>
            <w:hideMark/>
          </w:tcPr>
          <w:p w14:paraId="47F536AE"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2.25</w:t>
            </w:r>
          </w:p>
        </w:tc>
        <w:tc>
          <w:tcPr>
            <w:tcW w:w="0" w:type="auto"/>
            <w:tcBorders>
              <w:top w:val="single" w:sz="4" w:space="0" w:color="000000"/>
            </w:tcBorders>
            <w:tcMar>
              <w:top w:w="0" w:type="dxa"/>
              <w:left w:w="115" w:type="dxa"/>
              <w:bottom w:w="0" w:type="dxa"/>
              <w:right w:w="115" w:type="dxa"/>
            </w:tcMar>
            <w:vAlign w:val="center"/>
            <w:hideMark/>
          </w:tcPr>
          <w:p w14:paraId="253F81B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0.467</w:t>
            </w:r>
          </w:p>
        </w:tc>
        <w:tc>
          <w:tcPr>
            <w:tcW w:w="0" w:type="auto"/>
            <w:vAlign w:val="center"/>
            <w:hideMark/>
          </w:tcPr>
          <w:p w14:paraId="105EF390"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27C3B34D" w14:textId="77777777" w:rsidTr="008A4656">
        <w:trPr>
          <w:trHeight w:val="645"/>
        </w:trPr>
        <w:tc>
          <w:tcPr>
            <w:tcW w:w="0" w:type="auto"/>
            <w:tcBorders>
              <w:bottom w:val="single" w:sz="4" w:space="0" w:color="000000"/>
              <w:right w:val="single" w:sz="4" w:space="0" w:color="000000"/>
            </w:tcBorders>
            <w:tcMar>
              <w:top w:w="0" w:type="dxa"/>
              <w:left w:w="115" w:type="dxa"/>
              <w:bottom w:w="0" w:type="dxa"/>
              <w:right w:w="115" w:type="dxa"/>
            </w:tcMar>
            <w:vAlign w:val="center"/>
            <w:hideMark/>
          </w:tcPr>
          <w:p w14:paraId="5080F18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Valid N (list wise)</w:t>
            </w:r>
          </w:p>
        </w:tc>
        <w:tc>
          <w:tcPr>
            <w:tcW w:w="0" w:type="auto"/>
            <w:tcBorders>
              <w:left w:val="single" w:sz="4" w:space="0" w:color="000000"/>
              <w:bottom w:val="single" w:sz="4" w:space="0" w:color="000000"/>
            </w:tcBorders>
            <w:tcMar>
              <w:top w:w="0" w:type="dxa"/>
              <w:left w:w="115" w:type="dxa"/>
              <w:bottom w:w="0" w:type="dxa"/>
              <w:right w:w="115" w:type="dxa"/>
            </w:tcMar>
            <w:vAlign w:val="center"/>
            <w:hideMark/>
          </w:tcPr>
          <w:p w14:paraId="7DBDE62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105</w:t>
            </w:r>
          </w:p>
        </w:tc>
        <w:tc>
          <w:tcPr>
            <w:tcW w:w="0" w:type="auto"/>
            <w:tcBorders>
              <w:bottom w:val="single" w:sz="4" w:space="0" w:color="000000"/>
            </w:tcBorders>
            <w:tcMar>
              <w:top w:w="0" w:type="dxa"/>
              <w:left w:w="115" w:type="dxa"/>
              <w:bottom w:w="0" w:type="dxa"/>
              <w:right w:w="115" w:type="dxa"/>
            </w:tcMar>
            <w:vAlign w:val="center"/>
            <w:hideMark/>
          </w:tcPr>
          <w:p w14:paraId="793490B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w:t>
            </w:r>
          </w:p>
        </w:tc>
        <w:tc>
          <w:tcPr>
            <w:tcW w:w="0" w:type="auto"/>
            <w:tcBorders>
              <w:bottom w:val="single" w:sz="4" w:space="0" w:color="000000"/>
            </w:tcBorders>
            <w:tcMar>
              <w:top w:w="0" w:type="dxa"/>
              <w:left w:w="115" w:type="dxa"/>
              <w:bottom w:w="0" w:type="dxa"/>
              <w:right w:w="115" w:type="dxa"/>
            </w:tcMar>
            <w:vAlign w:val="center"/>
            <w:hideMark/>
          </w:tcPr>
          <w:p w14:paraId="70A1594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w:t>
            </w:r>
          </w:p>
        </w:tc>
        <w:tc>
          <w:tcPr>
            <w:tcW w:w="0" w:type="auto"/>
            <w:tcBorders>
              <w:bottom w:val="single" w:sz="4" w:space="0" w:color="000000"/>
            </w:tcBorders>
            <w:tcMar>
              <w:top w:w="0" w:type="dxa"/>
              <w:left w:w="115" w:type="dxa"/>
              <w:bottom w:w="0" w:type="dxa"/>
              <w:right w:w="115" w:type="dxa"/>
            </w:tcMar>
            <w:vAlign w:val="center"/>
            <w:hideMark/>
          </w:tcPr>
          <w:p w14:paraId="78EB0907"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w:t>
            </w:r>
          </w:p>
        </w:tc>
        <w:tc>
          <w:tcPr>
            <w:tcW w:w="0" w:type="auto"/>
            <w:tcBorders>
              <w:bottom w:val="single" w:sz="4" w:space="0" w:color="000000"/>
            </w:tcBorders>
            <w:tcMar>
              <w:top w:w="0" w:type="dxa"/>
              <w:left w:w="115" w:type="dxa"/>
              <w:bottom w:w="0" w:type="dxa"/>
              <w:right w:w="115" w:type="dxa"/>
            </w:tcMar>
            <w:vAlign w:val="center"/>
            <w:hideMark/>
          </w:tcPr>
          <w:p w14:paraId="6BC644B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w:t>
            </w:r>
          </w:p>
        </w:tc>
        <w:tc>
          <w:tcPr>
            <w:tcW w:w="0" w:type="auto"/>
            <w:tcBorders>
              <w:bottom w:val="single" w:sz="4" w:space="0" w:color="000000"/>
            </w:tcBorders>
            <w:tcMar>
              <w:top w:w="0" w:type="dxa"/>
              <w:left w:w="115" w:type="dxa"/>
              <w:bottom w:w="0" w:type="dxa"/>
              <w:right w:w="115" w:type="dxa"/>
            </w:tcMar>
            <w:vAlign w:val="center"/>
            <w:hideMark/>
          </w:tcPr>
          <w:p w14:paraId="3046B4A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w:t>
            </w:r>
          </w:p>
        </w:tc>
        <w:tc>
          <w:tcPr>
            <w:tcW w:w="0" w:type="auto"/>
            <w:tcBorders>
              <w:bottom w:val="single" w:sz="4" w:space="0" w:color="000000"/>
            </w:tcBorders>
            <w:tcMar>
              <w:top w:w="0" w:type="dxa"/>
              <w:left w:w="115" w:type="dxa"/>
              <w:bottom w:w="0" w:type="dxa"/>
              <w:right w:w="115" w:type="dxa"/>
            </w:tcMar>
            <w:vAlign w:val="center"/>
            <w:hideMark/>
          </w:tcPr>
          <w:p w14:paraId="238CA5D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w:t>
            </w:r>
          </w:p>
        </w:tc>
        <w:tc>
          <w:tcPr>
            <w:tcW w:w="0" w:type="auto"/>
            <w:tcBorders>
              <w:bottom w:val="single" w:sz="4" w:space="0" w:color="000000"/>
            </w:tcBorders>
            <w:tcMar>
              <w:top w:w="0" w:type="dxa"/>
              <w:left w:w="115" w:type="dxa"/>
              <w:bottom w:w="0" w:type="dxa"/>
              <w:right w:w="115" w:type="dxa"/>
            </w:tcMar>
            <w:vAlign w:val="center"/>
            <w:hideMark/>
          </w:tcPr>
          <w:p w14:paraId="65C1D2C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w:t>
            </w:r>
          </w:p>
        </w:tc>
        <w:tc>
          <w:tcPr>
            <w:tcW w:w="0" w:type="auto"/>
            <w:tcBorders>
              <w:bottom w:val="single" w:sz="4" w:space="0" w:color="000000"/>
            </w:tcBorders>
            <w:tcMar>
              <w:top w:w="0" w:type="dxa"/>
              <w:left w:w="115" w:type="dxa"/>
              <w:bottom w:w="0" w:type="dxa"/>
              <w:right w:w="115" w:type="dxa"/>
            </w:tcMar>
            <w:vAlign w:val="center"/>
            <w:hideMark/>
          </w:tcPr>
          <w:p w14:paraId="57C13C8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w:t>
            </w:r>
          </w:p>
        </w:tc>
        <w:tc>
          <w:tcPr>
            <w:tcW w:w="0" w:type="auto"/>
            <w:vAlign w:val="center"/>
            <w:hideMark/>
          </w:tcPr>
          <w:p w14:paraId="2B3B94AE"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bl>
    <w:p w14:paraId="19C24D8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i/>
          <w:iCs/>
          <w:color w:val="000000"/>
          <w:kern w:val="0"/>
          <w14:ligatures w14:val="none"/>
        </w:rPr>
        <w:t>(Source: Survey Data,2023)</w:t>
      </w:r>
    </w:p>
    <w:p w14:paraId="4E2491C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Figure 3.4.  Sustainable Employee Performance   </w:t>
      </w:r>
    </w:p>
    <w:p w14:paraId="6BFA3EEF" w14:textId="005ACA5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Cambria" w:eastAsia="Times New Roman" w:hAnsi="Cambria" w:cs="Times New Roman"/>
          <w:noProof/>
          <w:color w:val="000000"/>
          <w:kern w:val="0"/>
          <w:sz w:val="24"/>
          <w:szCs w:val="24"/>
          <w:bdr w:val="none" w:sz="0" w:space="0" w:color="auto" w:frame="1"/>
          <w14:ligatures w14:val="none"/>
        </w:rPr>
        <w:drawing>
          <wp:inline distT="0" distB="0" distL="0" distR="0" wp14:anchorId="4864E9A2" wp14:editId="7F9B355A">
            <wp:extent cx="3854450" cy="1562100"/>
            <wp:effectExtent l="0" t="0" r="0" b="0"/>
            <wp:docPr id="1818169182" name="Picture 1" descr="A graph of a performa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169182" name="Picture 1" descr="A graph of a performance&#10;&#10;Description automatically generat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54450" cy="1562100"/>
                    </a:xfrm>
                    <a:prstGeom prst="rect">
                      <a:avLst/>
                    </a:prstGeom>
                    <a:noFill/>
                    <a:ln>
                      <a:noFill/>
                    </a:ln>
                  </pic:spPr>
                </pic:pic>
              </a:graphicData>
            </a:graphic>
          </wp:inline>
        </w:drawing>
      </w:r>
    </w:p>
    <w:p w14:paraId="7A4D526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i/>
          <w:iCs/>
          <w:color w:val="000000"/>
          <w:kern w:val="0"/>
          <w14:ligatures w14:val="none"/>
        </w:rPr>
        <w:t>(Source: Survey Data,2023)</w:t>
      </w:r>
    </w:p>
    <w:p w14:paraId="035E4150"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This section presents the descriptive statistics of the sample. Descriptive statistics have presented in the form of means, median, mode, standard deviations, variance, range minimum, and maximum. There are two basic measures of descriptive statistics widely used in social science research which are the mean and the standard deviation. If the value of the standard deviation falls between -3 and +3, the variability of the construct is said to be accepted for further statistical analyses (Lu et al., 2007). Statistically, skewness measures the relative size of the two tails of the distribution, whereas kurtosis is a measure of the combined size of two tails which measures the extent of probability in the tails. The value is often compared to the kurtosis of the normal distribution, which is equal to 3. The Mean, standard deviation, skewness, and kurtosis values of the constructs in the current research model are given in Table 3.4.</w:t>
      </w:r>
    </w:p>
    <w:p w14:paraId="51FC4718"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3.5. Reliability</w:t>
      </w:r>
    </w:p>
    <w:p w14:paraId="564043ED"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To ensure reliability in the measurement scale, the researcher used internal consistency statistics. In a research study, reliability statistics are used to check whether items are free from bias and errors, which are rejected when unmatched items are located on the measurement scale (Nunnaly, 1978). Construct reliability was assessed using Cronbach's Alpha coefficient.</w:t>
      </w:r>
    </w:p>
    <w:p w14:paraId="7A7ABDA0" w14:textId="77777777" w:rsidR="008A4656" w:rsidRPr="008A4656" w:rsidRDefault="008A4656" w:rsidP="008A4656">
      <w:pPr>
        <w:spacing w:after="240" w:line="240" w:lineRule="auto"/>
        <w:rPr>
          <w:rFonts w:ascii="Times New Roman" w:eastAsia="Times New Roman" w:hAnsi="Times New Roman" w:cs="Times New Roman"/>
          <w:kern w:val="0"/>
          <w:sz w:val="24"/>
          <w:szCs w:val="24"/>
          <w14:ligatures w14:val="none"/>
        </w:rPr>
      </w:pPr>
    </w:p>
    <w:p w14:paraId="51C99DD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Table 3.5 Reliability </w:t>
      </w:r>
    </w:p>
    <w:tbl>
      <w:tblPr>
        <w:tblW w:w="0" w:type="auto"/>
        <w:tblCellMar>
          <w:top w:w="15" w:type="dxa"/>
          <w:left w:w="15" w:type="dxa"/>
          <w:bottom w:w="15" w:type="dxa"/>
          <w:right w:w="15" w:type="dxa"/>
        </w:tblCellMar>
        <w:tblLook w:val="04A0" w:firstRow="1" w:lastRow="0" w:firstColumn="1" w:lastColumn="0" w:noHBand="0" w:noVBand="1"/>
      </w:tblPr>
      <w:tblGrid>
        <w:gridCol w:w="3412"/>
        <w:gridCol w:w="1414"/>
        <w:gridCol w:w="2001"/>
      </w:tblGrid>
      <w:tr w:rsidR="008A4656" w:rsidRPr="008A4656" w14:paraId="67256A4F" w14:textId="77777777" w:rsidTr="008A4656">
        <w:tc>
          <w:tcPr>
            <w:tcW w:w="0" w:type="auto"/>
            <w:tcBorders>
              <w:top w:val="single" w:sz="4" w:space="0" w:color="000000"/>
              <w:bottom w:val="single" w:sz="4" w:space="0" w:color="000000"/>
            </w:tcBorders>
            <w:tcMar>
              <w:top w:w="0" w:type="dxa"/>
              <w:left w:w="108" w:type="dxa"/>
              <w:bottom w:w="0" w:type="dxa"/>
              <w:right w:w="108" w:type="dxa"/>
            </w:tcMar>
            <w:hideMark/>
          </w:tcPr>
          <w:p w14:paraId="3EB9C8C7"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Variable </w:t>
            </w:r>
          </w:p>
          <w:p w14:paraId="78585B8C"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bottom w:val="single" w:sz="4" w:space="0" w:color="000000"/>
            </w:tcBorders>
            <w:tcMar>
              <w:top w:w="0" w:type="dxa"/>
              <w:left w:w="108" w:type="dxa"/>
              <w:bottom w:w="0" w:type="dxa"/>
              <w:right w:w="108" w:type="dxa"/>
            </w:tcMar>
            <w:hideMark/>
          </w:tcPr>
          <w:p w14:paraId="70BD0138"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No. of Items </w:t>
            </w:r>
          </w:p>
          <w:p w14:paraId="1DE4A8D2"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bottom w:val="single" w:sz="4" w:space="0" w:color="000000"/>
            </w:tcBorders>
            <w:tcMar>
              <w:top w:w="0" w:type="dxa"/>
              <w:left w:w="108" w:type="dxa"/>
              <w:bottom w:w="0" w:type="dxa"/>
              <w:right w:w="108" w:type="dxa"/>
            </w:tcMar>
            <w:hideMark/>
          </w:tcPr>
          <w:p w14:paraId="682D5448"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Cronbach’s Alpha </w:t>
            </w:r>
          </w:p>
          <w:p w14:paraId="2E073FC0"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r>
      <w:tr w:rsidR="008A4656" w:rsidRPr="008A4656" w14:paraId="504E196B" w14:textId="77777777" w:rsidTr="008A4656">
        <w:trPr>
          <w:trHeight w:val="530"/>
        </w:trPr>
        <w:tc>
          <w:tcPr>
            <w:tcW w:w="0" w:type="auto"/>
            <w:tcBorders>
              <w:top w:val="single" w:sz="4" w:space="0" w:color="000000"/>
            </w:tcBorders>
            <w:tcMar>
              <w:top w:w="0" w:type="dxa"/>
              <w:left w:w="108" w:type="dxa"/>
              <w:bottom w:w="0" w:type="dxa"/>
              <w:right w:w="108" w:type="dxa"/>
            </w:tcMar>
            <w:hideMark/>
          </w:tcPr>
          <w:p w14:paraId="216C566E"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lastRenderedPageBreak/>
              <w:t>Talent Attraction</w:t>
            </w:r>
          </w:p>
        </w:tc>
        <w:tc>
          <w:tcPr>
            <w:tcW w:w="0" w:type="auto"/>
            <w:tcBorders>
              <w:top w:val="single" w:sz="4" w:space="0" w:color="000000"/>
            </w:tcBorders>
            <w:tcMar>
              <w:top w:w="0" w:type="dxa"/>
              <w:left w:w="108" w:type="dxa"/>
              <w:bottom w:w="0" w:type="dxa"/>
              <w:right w:w="108" w:type="dxa"/>
            </w:tcMar>
            <w:hideMark/>
          </w:tcPr>
          <w:p w14:paraId="543C8BDB"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       4</w:t>
            </w:r>
          </w:p>
        </w:tc>
        <w:tc>
          <w:tcPr>
            <w:tcW w:w="0" w:type="auto"/>
            <w:tcBorders>
              <w:top w:val="single" w:sz="4" w:space="0" w:color="000000"/>
            </w:tcBorders>
            <w:tcMar>
              <w:top w:w="0" w:type="dxa"/>
              <w:left w:w="108" w:type="dxa"/>
              <w:bottom w:w="0" w:type="dxa"/>
              <w:right w:w="108" w:type="dxa"/>
            </w:tcMar>
            <w:hideMark/>
          </w:tcPr>
          <w:p w14:paraId="31CE3EDB"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.893</w:t>
            </w:r>
          </w:p>
        </w:tc>
      </w:tr>
      <w:tr w:rsidR="008A4656" w:rsidRPr="008A4656" w14:paraId="4CBD76E4" w14:textId="77777777" w:rsidTr="008A4656">
        <w:trPr>
          <w:trHeight w:val="530"/>
        </w:trPr>
        <w:tc>
          <w:tcPr>
            <w:tcW w:w="0" w:type="auto"/>
            <w:tcMar>
              <w:top w:w="0" w:type="dxa"/>
              <w:left w:w="108" w:type="dxa"/>
              <w:bottom w:w="0" w:type="dxa"/>
              <w:right w:w="108" w:type="dxa"/>
            </w:tcMar>
            <w:hideMark/>
          </w:tcPr>
          <w:p w14:paraId="5F32111C"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Retention</w:t>
            </w:r>
          </w:p>
        </w:tc>
        <w:tc>
          <w:tcPr>
            <w:tcW w:w="0" w:type="auto"/>
            <w:tcMar>
              <w:top w:w="0" w:type="dxa"/>
              <w:left w:w="108" w:type="dxa"/>
              <w:bottom w:w="0" w:type="dxa"/>
              <w:right w:w="108" w:type="dxa"/>
            </w:tcMar>
            <w:hideMark/>
          </w:tcPr>
          <w:p w14:paraId="1EC746F3"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       4</w:t>
            </w:r>
          </w:p>
        </w:tc>
        <w:tc>
          <w:tcPr>
            <w:tcW w:w="0" w:type="auto"/>
            <w:tcMar>
              <w:top w:w="0" w:type="dxa"/>
              <w:left w:w="108" w:type="dxa"/>
              <w:bottom w:w="0" w:type="dxa"/>
              <w:right w:w="108" w:type="dxa"/>
            </w:tcMar>
            <w:hideMark/>
          </w:tcPr>
          <w:p w14:paraId="5DF9A1B5"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.859</w:t>
            </w:r>
          </w:p>
        </w:tc>
      </w:tr>
      <w:tr w:rsidR="008A4656" w:rsidRPr="008A4656" w14:paraId="7B3CA644" w14:textId="77777777" w:rsidTr="008A4656">
        <w:trPr>
          <w:trHeight w:val="584"/>
        </w:trPr>
        <w:tc>
          <w:tcPr>
            <w:tcW w:w="0" w:type="auto"/>
            <w:tcMar>
              <w:top w:w="0" w:type="dxa"/>
              <w:left w:w="108" w:type="dxa"/>
              <w:bottom w:w="0" w:type="dxa"/>
              <w:right w:w="108" w:type="dxa"/>
            </w:tcMar>
            <w:hideMark/>
          </w:tcPr>
          <w:p w14:paraId="1B86F660"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Learning and Development</w:t>
            </w:r>
          </w:p>
        </w:tc>
        <w:tc>
          <w:tcPr>
            <w:tcW w:w="0" w:type="auto"/>
            <w:tcMar>
              <w:top w:w="0" w:type="dxa"/>
              <w:left w:w="108" w:type="dxa"/>
              <w:bottom w:w="0" w:type="dxa"/>
              <w:right w:w="108" w:type="dxa"/>
            </w:tcMar>
            <w:hideMark/>
          </w:tcPr>
          <w:p w14:paraId="23A689C8"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       3</w:t>
            </w:r>
          </w:p>
        </w:tc>
        <w:tc>
          <w:tcPr>
            <w:tcW w:w="0" w:type="auto"/>
            <w:tcMar>
              <w:top w:w="0" w:type="dxa"/>
              <w:left w:w="108" w:type="dxa"/>
              <w:bottom w:w="0" w:type="dxa"/>
              <w:right w:w="108" w:type="dxa"/>
            </w:tcMar>
            <w:hideMark/>
          </w:tcPr>
          <w:p w14:paraId="47008D61"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.786</w:t>
            </w:r>
          </w:p>
        </w:tc>
      </w:tr>
      <w:tr w:rsidR="008A4656" w:rsidRPr="008A4656" w14:paraId="6E1B04FD" w14:textId="77777777" w:rsidTr="008A4656">
        <w:trPr>
          <w:trHeight w:val="512"/>
        </w:trPr>
        <w:tc>
          <w:tcPr>
            <w:tcW w:w="0" w:type="auto"/>
            <w:tcMar>
              <w:top w:w="0" w:type="dxa"/>
              <w:left w:w="108" w:type="dxa"/>
              <w:bottom w:w="0" w:type="dxa"/>
              <w:right w:w="108" w:type="dxa"/>
            </w:tcMar>
            <w:hideMark/>
          </w:tcPr>
          <w:p w14:paraId="60C36B59"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Career Management</w:t>
            </w:r>
          </w:p>
        </w:tc>
        <w:tc>
          <w:tcPr>
            <w:tcW w:w="0" w:type="auto"/>
            <w:tcMar>
              <w:top w:w="0" w:type="dxa"/>
              <w:left w:w="108" w:type="dxa"/>
              <w:bottom w:w="0" w:type="dxa"/>
              <w:right w:w="108" w:type="dxa"/>
            </w:tcMar>
            <w:hideMark/>
          </w:tcPr>
          <w:p w14:paraId="43FA1DDB"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       4</w:t>
            </w:r>
          </w:p>
        </w:tc>
        <w:tc>
          <w:tcPr>
            <w:tcW w:w="0" w:type="auto"/>
            <w:tcMar>
              <w:top w:w="0" w:type="dxa"/>
              <w:left w:w="108" w:type="dxa"/>
              <w:bottom w:w="0" w:type="dxa"/>
              <w:right w:w="108" w:type="dxa"/>
            </w:tcMar>
            <w:hideMark/>
          </w:tcPr>
          <w:p w14:paraId="6D58434E"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.761</w:t>
            </w:r>
          </w:p>
        </w:tc>
      </w:tr>
      <w:tr w:rsidR="008A4656" w:rsidRPr="008A4656" w14:paraId="1AE41BE9" w14:textId="77777777" w:rsidTr="008A4656">
        <w:trPr>
          <w:trHeight w:val="620"/>
        </w:trPr>
        <w:tc>
          <w:tcPr>
            <w:tcW w:w="0" w:type="auto"/>
            <w:tcMar>
              <w:top w:w="0" w:type="dxa"/>
              <w:left w:w="108" w:type="dxa"/>
              <w:bottom w:w="0" w:type="dxa"/>
              <w:right w:w="108" w:type="dxa"/>
            </w:tcMar>
            <w:hideMark/>
          </w:tcPr>
          <w:p w14:paraId="1D9B4F47"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Sustainable Employee Performance </w:t>
            </w:r>
          </w:p>
        </w:tc>
        <w:tc>
          <w:tcPr>
            <w:tcW w:w="0" w:type="auto"/>
            <w:tcMar>
              <w:top w:w="0" w:type="dxa"/>
              <w:left w:w="108" w:type="dxa"/>
              <w:bottom w:w="0" w:type="dxa"/>
              <w:right w:w="108" w:type="dxa"/>
            </w:tcMar>
            <w:hideMark/>
          </w:tcPr>
          <w:p w14:paraId="6A3D29E3"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15</w:t>
            </w:r>
          </w:p>
        </w:tc>
        <w:tc>
          <w:tcPr>
            <w:tcW w:w="0" w:type="auto"/>
            <w:tcMar>
              <w:top w:w="0" w:type="dxa"/>
              <w:left w:w="108" w:type="dxa"/>
              <w:bottom w:w="0" w:type="dxa"/>
              <w:right w:w="108" w:type="dxa"/>
            </w:tcMar>
            <w:hideMark/>
          </w:tcPr>
          <w:p w14:paraId="477CD42A"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.873</w:t>
            </w:r>
          </w:p>
        </w:tc>
      </w:tr>
      <w:tr w:rsidR="008A4656" w:rsidRPr="008A4656" w14:paraId="5A2EDA2A" w14:textId="77777777" w:rsidTr="008A4656">
        <w:trPr>
          <w:trHeight w:val="315"/>
        </w:trPr>
        <w:tc>
          <w:tcPr>
            <w:tcW w:w="0" w:type="auto"/>
            <w:tcBorders>
              <w:bottom w:val="single" w:sz="4" w:space="0" w:color="000000"/>
            </w:tcBorders>
            <w:tcMar>
              <w:top w:w="0" w:type="dxa"/>
              <w:left w:w="108" w:type="dxa"/>
              <w:bottom w:w="0" w:type="dxa"/>
              <w:right w:w="108" w:type="dxa"/>
            </w:tcMar>
            <w:hideMark/>
          </w:tcPr>
          <w:p w14:paraId="3C0F8C84"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Employee Well-being</w:t>
            </w:r>
          </w:p>
        </w:tc>
        <w:tc>
          <w:tcPr>
            <w:tcW w:w="0" w:type="auto"/>
            <w:tcBorders>
              <w:bottom w:val="single" w:sz="4" w:space="0" w:color="000000"/>
            </w:tcBorders>
            <w:tcMar>
              <w:top w:w="0" w:type="dxa"/>
              <w:left w:w="108" w:type="dxa"/>
              <w:bottom w:w="0" w:type="dxa"/>
              <w:right w:w="108" w:type="dxa"/>
            </w:tcMar>
            <w:hideMark/>
          </w:tcPr>
          <w:p w14:paraId="3B8E79BF"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       9</w:t>
            </w:r>
          </w:p>
        </w:tc>
        <w:tc>
          <w:tcPr>
            <w:tcW w:w="0" w:type="auto"/>
            <w:tcBorders>
              <w:bottom w:val="single" w:sz="4" w:space="0" w:color="000000"/>
            </w:tcBorders>
            <w:tcMar>
              <w:top w:w="0" w:type="dxa"/>
              <w:left w:w="108" w:type="dxa"/>
              <w:bottom w:w="0" w:type="dxa"/>
              <w:right w:w="108" w:type="dxa"/>
            </w:tcMar>
            <w:hideMark/>
          </w:tcPr>
          <w:p w14:paraId="63E16D66"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.859</w:t>
            </w:r>
          </w:p>
        </w:tc>
      </w:tr>
    </w:tbl>
    <w:p w14:paraId="52745D9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i/>
          <w:iCs/>
          <w:color w:val="000000"/>
          <w:kern w:val="0"/>
          <w14:ligatures w14:val="none"/>
        </w:rPr>
        <w:t>(Source: Survey Data,2023)</w:t>
      </w:r>
    </w:p>
    <w:p w14:paraId="55384080"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As the above table shows, Cronbach’s alpha value of the independent variables and the dependent variable was higher than 0.7. Therefore, item scales are reliable, and all the items have played a significant role in conceptualizing the respective constructs. Original statistics results are mentioned in table 3.5.</w:t>
      </w:r>
    </w:p>
    <w:p w14:paraId="6A0F60FD"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3.6. Validity</w:t>
      </w:r>
    </w:p>
    <w:p w14:paraId="6B08B8BA"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48A3AA3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Table 3.6. Validity   </w:t>
      </w:r>
    </w:p>
    <w:tbl>
      <w:tblPr>
        <w:tblW w:w="0" w:type="auto"/>
        <w:tblCellMar>
          <w:top w:w="15" w:type="dxa"/>
          <w:left w:w="15" w:type="dxa"/>
          <w:bottom w:w="15" w:type="dxa"/>
          <w:right w:w="15" w:type="dxa"/>
        </w:tblCellMar>
        <w:tblLook w:val="04A0" w:firstRow="1" w:lastRow="0" w:firstColumn="1" w:lastColumn="0" w:noHBand="0" w:noVBand="1"/>
      </w:tblPr>
      <w:tblGrid>
        <w:gridCol w:w="3029"/>
        <w:gridCol w:w="3266"/>
        <w:gridCol w:w="1918"/>
        <w:gridCol w:w="546"/>
        <w:gridCol w:w="601"/>
      </w:tblGrid>
      <w:tr w:rsidR="008A4656" w:rsidRPr="008A4656" w14:paraId="0F8E5BF8" w14:textId="77777777" w:rsidTr="008A4656">
        <w:tc>
          <w:tcPr>
            <w:tcW w:w="0" w:type="auto"/>
            <w:vMerge w:val="restart"/>
            <w:tcBorders>
              <w:top w:val="single" w:sz="4" w:space="0" w:color="000000"/>
            </w:tcBorders>
            <w:tcMar>
              <w:top w:w="0" w:type="dxa"/>
              <w:left w:w="108" w:type="dxa"/>
              <w:bottom w:w="0" w:type="dxa"/>
              <w:right w:w="108" w:type="dxa"/>
            </w:tcMar>
            <w:vAlign w:val="center"/>
            <w:hideMark/>
          </w:tcPr>
          <w:p w14:paraId="49C5B029"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Variable</w:t>
            </w:r>
          </w:p>
        </w:tc>
        <w:tc>
          <w:tcPr>
            <w:tcW w:w="0" w:type="auto"/>
            <w:vMerge w:val="restart"/>
            <w:tcBorders>
              <w:top w:val="single" w:sz="4" w:space="0" w:color="000000"/>
            </w:tcBorders>
            <w:tcMar>
              <w:top w:w="0" w:type="dxa"/>
              <w:left w:w="108" w:type="dxa"/>
              <w:bottom w:w="0" w:type="dxa"/>
              <w:right w:w="108" w:type="dxa"/>
            </w:tcMar>
            <w:vAlign w:val="center"/>
            <w:hideMark/>
          </w:tcPr>
          <w:p w14:paraId="4003E6DE"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KMO Measure of Sampling adequacy</w:t>
            </w:r>
          </w:p>
        </w:tc>
        <w:tc>
          <w:tcPr>
            <w:tcW w:w="0" w:type="auto"/>
            <w:gridSpan w:val="3"/>
            <w:tcBorders>
              <w:top w:val="single" w:sz="4" w:space="0" w:color="000000"/>
              <w:bottom w:val="single" w:sz="4" w:space="0" w:color="000000"/>
            </w:tcBorders>
            <w:tcMar>
              <w:top w:w="0" w:type="dxa"/>
              <w:left w:w="108" w:type="dxa"/>
              <w:bottom w:w="0" w:type="dxa"/>
              <w:right w:w="108" w:type="dxa"/>
            </w:tcMar>
            <w:vAlign w:val="center"/>
            <w:hideMark/>
          </w:tcPr>
          <w:p w14:paraId="70BCA18C"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Bartlett’s test of Sphericity</w:t>
            </w:r>
          </w:p>
        </w:tc>
      </w:tr>
      <w:tr w:rsidR="008A4656" w:rsidRPr="008A4656" w14:paraId="473447F6" w14:textId="77777777" w:rsidTr="008A4656">
        <w:trPr>
          <w:trHeight w:val="827"/>
        </w:trPr>
        <w:tc>
          <w:tcPr>
            <w:tcW w:w="0" w:type="auto"/>
            <w:vMerge/>
            <w:tcBorders>
              <w:top w:val="single" w:sz="4" w:space="0" w:color="000000"/>
            </w:tcBorders>
            <w:vAlign w:val="center"/>
            <w:hideMark/>
          </w:tcPr>
          <w:p w14:paraId="636ADFF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tcBorders>
            <w:vAlign w:val="center"/>
            <w:hideMark/>
          </w:tcPr>
          <w:p w14:paraId="161F8471"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bottom w:val="single" w:sz="4" w:space="0" w:color="000000"/>
            </w:tcBorders>
            <w:tcMar>
              <w:top w:w="0" w:type="dxa"/>
              <w:left w:w="108" w:type="dxa"/>
              <w:bottom w:w="0" w:type="dxa"/>
              <w:right w:w="108" w:type="dxa"/>
            </w:tcMar>
            <w:vAlign w:val="center"/>
            <w:hideMark/>
          </w:tcPr>
          <w:p w14:paraId="522897E0"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Approx. Chi-Square</w:t>
            </w:r>
          </w:p>
        </w:tc>
        <w:tc>
          <w:tcPr>
            <w:tcW w:w="0" w:type="auto"/>
            <w:tcBorders>
              <w:top w:val="single" w:sz="4" w:space="0" w:color="000000"/>
              <w:bottom w:val="single" w:sz="4" w:space="0" w:color="000000"/>
            </w:tcBorders>
            <w:tcMar>
              <w:top w:w="0" w:type="dxa"/>
              <w:left w:w="108" w:type="dxa"/>
              <w:bottom w:w="0" w:type="dxa"/>
              <w:right w:w="108" w:type="dxa"/>
            </w:tcMar>
            <w:vAlign w:val="center"/>
            <w:hideMark/>
          </w:tcPr>
          <w:p w14:paraId="7A574862"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df</w:t>
            </w:r>
          </w:p>
        </w:tc>
        <w:tc>
          <w:tcPr>
            <w:tcW w:w="0" w:type="auto"/>
            <w:tcBorders>
              <w:top w:val="single" w:sz="4" w:space="0" w:color="000000"/>
              <w:bottom w:val="single" w:sz="4" w:space="0" w:color="000000"/>
            </w:tcBorders>
            <w:tcMar>
              <w:top w:w="0" w:type="dxa"/>
              <w:left w:w="108" w:type="dxa"/>
              <w:bottom w:w="0" w:type="dxa"/>
              <w:right w:w="108" w:type="dxa"/>
            </w:tcMar>
            <w:vAlign w:val="center"/>
            <w:hideMark/>
          </w:tcPr>
          <w:p w14:paraId="0180D9E8"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Sig</w:t>
            </w:r>
          </w:p>
        </w:tc>
      </w:tr>
      <w:tr w:rsidR="008A4656" w:rsidRPr="008A4656" w14:paraId="4806D4C3" w14:textId="77777777" w:rsidTr="008A4656">
        <w:trPr>
          <w:trHeight w:val="593"/>
        </w:trPr>
        <w:tc>
          <w:tcPr>
            <w:tcW w:w="0" w:type="auto"/>
            <w:tcBorders>
              <w:top w:val="single" w:sz="4" w:space="0" w:color="000000"/>
            </w:tcBorders>
            <w:tcMar>
              <w:top w:w="0" w:type="dxa"/>
              <w:left w:w="108" w:type="dxa"/>
              <w:bottom w:w="0" w:type="dxa"/>
              <w:right w:w="108" w:type="dxa"/>
            </w:tcMar>
            <w:hideMark/>
          </w:tcPr>
          <w:p w14:paraId="3BB9886D"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Attraction</w:t>
            </w:r>
          </w:p>
        </w:tc>
        <w:tc>
          <w:tcPr>
            <w:tcW w:w="0" w:type="auto"/>
            <w:tcBorders>
              <w:top w:val="single" w:sz="4" w:space="0" w:color="000000"/>
            </w:tcBorders>
            <w:tcMar>
              <w:top w:w="0" w:type="dxa"/>
              <w:left w:w="108" w:type="dxa"/>
              <w:bottom w:w="0" w:type="dxa"/>
              <w:right w:w="108" w:type="dxa"/>
            </w:tcMar>
            <w:hideMark/>
          </w:tcPr>
          <w:p w14:paraId="57B39DA8"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.777</w:t>
            </w:r>
          </w:p>
        </w:tc>
        <w:tc>
          <w:tcPr>
            <w:tcW w:w="0" w:type="auto"/>
            <w:tcBorders>
              <w:top w:val="single" w:sz="4" w:space="0" w:color="000000"/>
            </w:tcBorders>
            <w:tcMar>
              <w:top w:w="0" w:type="dxa"/>
              <w:left w:w="108" w:type="dxa"/>
              <w:bottom w:w="0" w:type="dxa"/>
              <w:right w:w="108" w:type="dxa"/>
            </w:tcMar>
            <w:hideMark/>
          </w:tcPr>
          <w:p w14:paraId="20B40AA1"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265.782</w:t>
            </w:r>
          </w:p>
        </w:tc>
        <w:tc>
          <w:tcPr>
            <w:tcW w:w="0" w:type="auto"/>
            <w:tcBorders>
              <w:top w:val="single" w:sz="4" w:space="0" w:color="000000"/>
            </w:tcBorders>
            <w:tcMar>
              <w:top w:w="0" w:type="dxa"/>
              <w:left w:w="108" w:type="dxa"/>
              <w:bottom w:w="0" w:type="dxa"/>
              <w:right w:w="108" w:type="dxa"/>
            </w:tcMar>
            <w:hideMark/>
          </w:tcPr>
          <w:p w14:paraId="360878BD"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6</w:t>
            </w:r>
          </w:p>
        </w:tc>
        <w:tc>
          <w:tcPr>
            <w:tcW w:w="0" w:type="auto"/>
            <w:tcBorders>
              <w:top w:val="single" w:sz="4" w:space="0" w:color="000000"/>
            </w:tcBorders>
            <w:tcMar>
              <w:top w:w="0" w:type="dxa"/>
              <w:left w:w="108" w:type="dxa"/>
              <w:bottom w:w="0" w:type="dxa"/>
              <w:right w:w="108" w:type="dxa"/>
            </w:tcMar>
            <w:hideMark/>
          </w:tcPr>
          <w:p w14:paraId="7E0CB19D"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.000</w:t>
            </w:r>
          </w:p>
        </w:tc>
      </w:tr>
      <w:tr w:rsidR="008A4656" w:rsidRPr="008A4656" w14:paraId="7D4482FC" w14:textId="77777777" w:rsidTr="008A4656">
        <w:trPr>
          <w:trHeight w:val="450"/>
        </w:trPr>
        <w:tc>
          <w:tcPr>
            <w:tcW w:w="0" w:type="auto"/>
            <w:tcMar>
              <w:top w:w="0" w:type="dxa"/>
              <w:left w:w="108" w:type="dxa"/>
              <w:bottom w:w="0" w:type="dxa"/>
              <w:right w:w="108" w:type="dxa"/>
            </w:tcMar>
            <w:hideMark/>
          </w:tcPr>
          <w:p w14:paraId="491D1914"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Retention</w:t>
            </w:r>
          </w:p>
        </w:tc>
        <w:tc>
          <w:tcPr>
            <w:tcW w:w="0" w:type="auto"/>
            <w:tcMar>
              <w:top w:w="0" w:type="dxa"/>
              <w:left w:w="108" w:type="dxa"/>
              <w:bottom w:w="0" w:type="dxa"/>
              <w:right w:w="108" w:type="dxa"/>
            </w:tcMar>
            <w:hideMark/>
          </w:tcPr>
          <w:p w14:paraId="7C57DEBE"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.815</w:t>
            </w:r>
          </w:p>
        </w:tc>
        <w:tc>
          <w:tcPr>
            <w:tcW w:w="0" w:type="auto"/>
            <w:tcMar>
              <w:top w:w="0" w:type="dxa"/>
              <w:left w:w="108" w:type="dxa"/>
              <w:bottom w:w="0" w:type="dxa"/>
              <w:right w:w="108" w:type="dxa"/>
            </w:tcMar>
            <w:hideMark/>
          </w:tcPr>
          <w:p w14:paraId="52090DFE"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202.090</w:t>
            </w:r>
          </w:p>
        </w:tc>
        <w:tc>
          <w:tcPr>
            <w:tcW w:w="0" w:type="auto"/>
            <w:tcMar>
              <w:top w:w="0" w:type="dxa"/>
              <w:left w:w="108" w:type="dxa"/>
              <w:bottom w:w="0" w:type="dxa"/>
              <w:right w:w="108" w:type="dxa"/>
            </w:tcMar>
            <w:hideMark/>
          </w:tcPr>
          <w:p w14:paraId="406AA390"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6</w:t>
            </w:r>
          </w:p>
        </w:tc>
        <w:tc>
          <w:tcPr>
            <w:tcW w:w="0" w:type="auto"/>
            <w:tcMar>
              <w:top w:w="0" w:type="dxa"/>
              <w:left w:w="108" w:type="dxa"/>
              <w:bottom w:w="0" w:type="dxa"/>
              <w:right w:w="108" w:type="dxa"/>
            </w:tcMar>
            <w:hideMark/>
          </w:tcPr>
          <w:p w14:paraId="5611A06E"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.000</w:t>
            </w:r>
          </w:p>
        </w:tc>
      </w:tr>
      <w:tr w:rsidR="008A4656" w:rsidRPr="008A4656" w14:paraId="1ECCB6F9" w14:textId="77777777" w:rsidTr="008A4656">
        <w:trPr>
          <w:trHeight w:val="810"/>
        </w:trPr>
        <w:tc>
          <w:tcPr>
            <w:tcW w:w="0" w:type="auto"/>
            <w:tcMar>
              <w:top w:w="0" w:type="dxa"/>
              <w:left w:w="108" w:type="dxa"/>
              <w:bottom w:w="0" w:type="dxa"/>
              <w:right w:w="108" w:type="dxa"/>
            </w:tcMar>
            <w:hideMark/>
          </w:tcPr>
          <w:p w14:paraId="4861F462"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Learning and Development</w:t>
            </w:r>
          </w:p>
        </w:tc>
        <w:tc>
          <w:tcPr>
            <w:tcW w:w="0" w:type="auto"/>
            <w:tcMar>
              <w:top w:w="0" w:type="dxa"/>
              <w:left w:w="108" w:type="dxa"/>
              <w:bottom w:w="0" w:type="dxa"/>
              <w:right w:w="108" w:type="dxa"/>
            </w:tcMar>
            <w:hideMark/>
          </w:tcPr>
          <w:p w14:paraId="70E930BC"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.680</w:t>
            </w:r>
          </w:p>
        </w:tc>
        <w:tc>
          <w:tcPr>
            <w:tcW w:w="0" w:type="auto"/>
            <w:tcMar>
              <w:top w:w="0" w:type="dxa"/>
              <w:left w:w="108" w:type="dxa"/>
              <w:bottom w:w="0" w:type="dxa"/>
              <w:right w:w="108" w:type="dxa"/>
            </w:tcMar>
            <w:hideMark/>
          </w:tcPr>
          <w:p w14:paraId="3CFF9408"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93.206</w:t>
            </w:r>
          </w:p>
        </w:tc>
        <w:tc>
          <w:tcPr>
            <w:tcW w:w="0" w:type="auto"/>
            <w:tcMar>
              <w:top w:w="0" w:type="dxa"/>
              <w:left w:w="108" w:type="dxa"/>
              <w:bottom w:w="0" w:type="dxa"/>
              <w:right w:w="108" w:type="dxa"/>
            </w:tcMar>
            <w:hideMark/>
          </w:tcPr>
          <w:p w14:paraId="33DEDAF0"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3</w:t>
            </w:r>
          </w:p>
        </w:tc>
        <w:tc>
          <w:tcPr>
            <w:tcW w:w="0" w:type="auto"/>
            <w:tcMar>
              <w:top w:w="0" w:type="dxa"/>
              <w:left w:w="108" w:type="dxa"/>
              <w:bottom w:w="0" w:type="dxa"/>
              <w:right w:w="108" w:type="dxa"/>
            </w:tcMar>
            <w:hideMark/>
          </w:tcPr>
          <w:p w14:paraId="0781EF79"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.000</w:t>
            </w:r>
          </w:p>
        </w:tc>
      </w:tr>
      <w:tr w:rsidR="008A4656" w:rsidRPr="008A4656" w14:paraId="320E490D" w14:textId="77777777" w:rsidTr="008A4656">
        <w:trPr>
          <w:trHeight w:val="450"/>
        </w:trPr>
        <w:tc>
          <w:tcPr>
            <w:tcW w:w="0" w:type="auto"/>
            <w:tcMar>
              <w:top w:w="0" w:type="dxa"/>
              <w:left w:w="108" w:type="dxa"/>
              <w:bottom w:w="0" w:type="dxa"/>
              <w:right w:w="108" w:type="dxa"/>
            </w:tcMar>
            <w:hideMark/>
          </w:tcPr>
          <w:p w14:paraId="2E9422E9"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Career Management</w:t>
            </w:r>
          </w:p>
        </w:tc>
        <w:tc>
          <w:tcPr>
            <w:tcW w:w="0" w:type="auto"/>
            <w:tcMar>
              <w:top w:w="0" w:type="dxa"/>
              <w:left w:w="108" w:type="dxa"/>
              <w:bottom w:w="0" w:type="dxa"/>
              <w:right w:w="108" w:type="dxa"/>
            </w:tcMar>
            <w:hideMark/>
          </w:tcPr>
          <w:p w14:paraId="040BFDD2"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.777</w:t>
            </w:r>
          </w:p>
        </w:tc>
        <w:tc>
          <w:tcPr>
            <w:tcW w:w="0" w:type="auto"/>
            <w:tcMar>
              <w:top w:w="0" w:type="dxa"/>
              <w:left w:w="108" w:type="dxa"/>
              <w:bottom w:w="0" w:type="dxa"/>
              <w:right w:w="108" w:type="dxa"/>
            </w:tcMar>
            <w:hideMark/>
          </w:tcPr>
          <w:p w14:paraId="5B15051A"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97.390</w:t>
            </w:r>
          </w:p>
        </w:tc>
        <w:tc>
          <w:tcPr>
            <w:tcW w:w="0" w:type="auto"/>
            <w:tcMar>
              <w:top w:w="0" w:type="dxa"/>
              <w:left w:w="108" w:type="dxa"/>
              <w:bottom w:w="0" w:type="dxa"/>
              <w:right w:w="108" w:type="dxa"/>
            </w:tcMar>
            <w:hideMark/>
          </w:tcPr>
          <w:p w14:paraId="5071AFE7"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6</w:t>
            </w:r>
          </w:p>
        </w:tc>
        <w:tc>
          <w:tcPr>
            <w:tcW w:w="0" w:type="auto"/>
            <w:tcMar>
              <w:top w:w="0" w:type="dxa"/>
              <w:left w:w="108" w:type="dxa"/>
              <w:bottom w:w="0" w:type="dxa"/>
              <w:right w:w="108" w:type="dxa"/>
            </w:tcMar>
            <w:hideMark/>
          </w:tcPr>
          <w:p w14:paraId="34761B9E"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.000</w:t>
            </w:r>
          </w:p>
        </w:tc>
      </w:tr>
      <w:tr w:rsidR="008A4656" w:rsidRPr="008A4656" w14:paraId="00B7E906" w14:textId="77777777" w:rsidTr="008A4656">
        <w:trPr>
          <w:trHeight w:val="990"/>
        </w:trPr>
        <w:tc>
          <w:tcPr>
            <w:tcW w:w="0" w:type="auto"/>
            <w:tcMar>
              <w:top w:w="0" w:type="dxa"/>
              <w:left w:w="108" w:type="dxa"/>
              <w:bottom w:w="0" w:type="dxa"/>
              <w:right w:w="108" w:type="dxa"/>
            </w:tcMar>
            <w:hideMark/>
          </w:tcPr>
          <w:p w14:paraId="69154A97"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Sustainable Employee Performance </w:t>
            </w:r>
          </w:p>
        </w:tc>
        <w:tc>
          <w:tcPr>
            <w:tcW w:w="0" w:type="auto"/>
            <w:tcMar>
              <w:top w:w="0" w:type="dxa"/>
              <w:left w:w="108" w:type="dxa"/>
              <w:bottom w:w="0" w:type="dxa"/>
              <w:right w:w="108" w:type="dxa"/>
            </w:tcMar>
            <w:hideMark/>
          </w:tcPr>
          <w:p w14:paraId="70DB7F02"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.824</w:t>
            </w:r>
          </w:p>
        </w:tc>
        <w:tc>
          <w:tcPr>
            <w:tcW w:w="0" w:type="auto"/>
            <w:tcMar>
              <w:top w:w="0" w:type="dxa"/>
              <w:left w:w="108" w:type="dxa"/>
              <w:bottom w:w="0" w:type="dxa"/>
              <w:right w:w="108" w:type="dxa"/>
            </w:tcMar>
            <w:hideMark/>
          </w:tcPr>
          <w:p w14:paraId="2FA46F1B"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649.026</w:t>
            </w:r>
          </w:p>
        </w:tc>
        <w:tc>
          <w:tcPr>
            <w:tcW w:w="0" w:type="auto"/>
            <w:tcMar>
              <w:top w:w="0" w:type="dxa"/>
              <w:left w:w="108" w:type="dxa"/>
              <w:bottom w:w="0" w:type="dxa"/>
              <w:right w:w="108" w:type="dxa"/>
            </w:tcMar>
            <w:hideMark/>
          </w:tcPr>
          <w:p w14:paraId="5247308E"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105</w:t>
            </w:r>
          </w:p>
        </w:tc>
        <w:tc>
          <w:tcPr>
            <w:tcW w:w="0" w:type="auto"/>
            <w:tcMar>
              <w:top w:w="0" w:type="dxa"/>
              <w:left w:w="108" w:type="dxa"/>
              <w:bottom w:w="0" w:type="dxa"/>
              <w:right w:w="108" w:type="dxa"/>
            </w:tcMar>
            <w:hideMark/>
          </w:tcPr>
          <w:p w14:paraId="101E97F2"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.000</w:t>
            </w:r>
          </w:p>
        </w:tc>
      </w:tr>
      <w:tr w:rsidR="008A4656" w:rsidRPr="008A4656" w14:paraId="036CE998" w14:textId="77777777" w:rsidTr="008A4656">
        <w:trPr>
          <w:trHeight w:val="620"/>
        </w:trPr>
        <w:tc>
          <w:tcPr>
            <w:tcW w:w="0" w:type="auto"/>
            <w:tcBorders>
              <w:bottom w:val="single" w:sz="4" w:space="0" w:color="000000"/>
            </w:tcBorders>
            <w:tcMar>
              <w:top w:w="0" w:type="dxa"/>
              <w:left w:w="108" w:type="dxa"/>
              <w:bottom w:w="0" w:type="dxa"/>
              <w:right w:w="108" w:type="dxa"/>
            </w:tcMar>
            <w:hideMark/>
          </w:tcPr>
          <w:p w14:paraId="2A7330F2"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Employee Well-being</w:t>
            </w:r>
          </w:p>
        </w:tc>
        <w:tc>
          <w:tcPr>
            <w:tcW w:w="0" w:type="auto"/>
            <w:tcBorders>
              <w:bottom w:val="single" w:sz="4" w:space="0" w:color="000000"/>
            </w:tcBorders>
            <w:tcMar>
              <w:top w:w="0" w:type="dxa"/>
              <w:left w:w="108" w:type="dxa"/>
              <w:bottom w:w="0" w:type="dxa"/>
              <w:right w:w="108" w:type="dxa"/>
            </w:tcMar>
            <w:hideMark/>
          </w:tcPr>
          <w:p w14:paraId="20297C60"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.850</w:t>
            </w:r>
          </w:p>
        </w:tc>
        <w:tc>
          <w:tcPr>
            <w:tcW w:w="0" w:type="auto"/>
            <w:tcBorders>
              <w:bottom w:val="single" w:sz="4" w:space="0" w:color="000000"/>
            </w:tcBorders>
            <w:tcMar>
              <w:top w:w="0" w:type="dxa"/>
              <w:left w:w="108" w:type="dxa"/>
              <w:bottom w:w="0" w:type="dxa"/>
              <w:right w:w="108" w:type="dxa"/>
            </w:tcMar>
            <w:hideMark/>
          </w:tcPr>
          <w:p w14:paraId="7295204A"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334.771</w:t>
            </w:r>
          </w:p>
        </w:tc>
        <w:tc>
          <w:tcPr>
            <w:tcW w:w="0" w:type="auto"/>
            <w:tcBorders>
              <w:bottom w:val="single" w:sz="4" w:space="0" w:color="000000"/>
            </w:tcBorders>
            <w:tcMar>
              <w:top w:w="0" w:type="dxa"/>
              <w:left w:w="108" w:type="dxa"/>
              <w:bottom w:w="0" w:type="dxa"/>
              <w:right w:w="108" w:type="dxa"/>
            </w:tcMar>
            <w:hideMark/>
          </w:tcPr>
          <w:p w14:paraId="5E049BEC"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36</w:t>
            </w:r>
          </w:p>
        </w:tc>
        <w:tc>
          <w:tcPr>
            <w:tcW w:w="0" w:type="auto"/>
            <w:tcBorders>
              <w:bottom w:val="single" w:sz="4" w:space="0" w:color="000000"/>
            </w:tcBorders>
            <w:tcMar>
              <w:top w:w="0" w:type="dxa"/>
              <w:left w:w="108" w:type="dxa"/>
              <w:bottom w:w="0" w:type="dxa"/>
              <w:right w:w="108" w:type="dxa"/>
            </w:tcMar>
            <w:hideMark/>
          </w:tcPr>
          <w:p w14:paraId="71DE97A8" w14:textId="77777777" w:rsidR="008A4656" w:rsidRPr="008A4656" w:rsidRDefault="008A4656" w:rsidP="008A4656">
            <w:pPr>
              <w:spacing w:after="0"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.000</w:t>
            </w:r>
          </w:p>
        </w:tc>
      </w:tr>
    </w:tbl>
    <w:p w14:paraId="044A0C8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i/>
          <w:iCs/>
          <w:color w:val="000000"/>
          <w:kern w:val="0"/>
          <w14:ligatures w14:val="none"/>
        </w:rPr>
        <w:t>(Source: Survey Data,2023)</w:t>
      </w:r>
    </w:p>
    <w:p w14:paraId="27CEE272"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Validity statistics are used to ensure that measurements adequately represent the underlying construct that is supposed to measure (Bhattacherjee, 2012).Sampling adequacy and the Sphericity were ensured through the Kaiser-Meyer-Olkin (KMO) Measure and Bartlett's test, respectively. Results in the KMO coefficient are more significant than 0.6 for the variables and the sig. The value is less than 0.05, statistically, it is claimed that the study sample of 113 observations is adequate to proceed with Explorative Factor Analysis. Also, results indicate that sufficient correlation exists among the variables to proceed, and in this study, sampling adequacy is significant. Results of the KMO and Bartlett's test are shown in table 3.6.</w:t>
      </w:r>
    </w:p>
    <w:p w14:paraId="46D1F59F"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lastRenderedPageBreak/>
        <w:t>3.7. Correlation</w:t>
      </w:r>
    </w:p>
    <w:p w14:paraId="7FC8B62A"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Building on the linear relationship between the two constructs, the researcher used the Pearson correlation to compute the correlation between talent management practices and sustainable employee performance. Pearson Correlation Coefficient was used to assess the strength of the association between the dependent variable and the independent variables. This section presents the analysis of the 1st objective of the current study which is to identify the relationship between independent and dependent variables. </w:t>
      </w:r>
    </w:p>
    <w:p w14:paraId="52016E8E"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Table 3.7. Correlation </w:t>
      </w:r>
    </w:p>
    <w:tbl>
      <w:tblPr>
        <w:tblW w:w="0" w:type="auto"/>
        <w:tblCellMar>
          <w:top w:w="15" w:type="dxa"/>
          <w:left w:w="15" w:type="dxa"/>
          <w:bottom w:w="15" w:type="dxa"/>
          <w:right w:w="15" w:type="dxa"/>
        </w:tblCellMar>
        <w:tblLook w:val="04A0" w:firstRow="1" w:lastRow="0" w:firstColumn="1" w:lastColumn="0" w:noHBand="0" w:noVBand="1"/>
      </w:tblPr>
      <w:tblGrid>
        <w:gridCol w:w="3171"/>
        <w:gridCol w:w="1784"/>
        <w:gridCol w:w="1931"/>
        <w:gridCol w:w="2212"/>
      </w:tblGrid>
      <w:tr w:rsidR="008A4656" w:rsidRPr="008A4656" w14:paraId="381BDC41" w14:textId="77777777" w:rsidTr="008A4656">
        <w:trPr>
          <w:trHeight w:val="728"/>
        </w:trPr>
        <w:tc>
          <w:tcPr>
            <w:tcW w:w="0" w:type="auto"/>
            <w:gridSpan w:val="2"/>
            <w:tcBorders>
              <w:top w:val="single" w:sz="4" w:space="0" w:color="000000"/>
              <w:bottom w:val="single" w:sz="4" w:space="0" w:color="000000"/>
            </w:tcBorders>
            <w:vAlign w:val="bottom"/>
            <w:hideMark/>
          </w:tcPr>
          <w:p w14:paraId="1BFB1CD3"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bottom w:val="single" w:sz="4" w:space="0" w:color="000000"/>
            </w:tcBorders>
            <w:vAlign w:val="bottom"/>
            <w:hideMark/>
          </w:tcPr>
          <w:p w14:paraId="0B8D78F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Talent Management</w:t>
            </w:r>
          </w:p>
        </w:tc>
        <w:tc>
          <w:tcPr>
            <w:tcW w:w="0" w:type="auto"/>
            <w:tcBorders>
              <w:top w:val="single" w:sz="4" w:space="0" w:color="000000"/>
              <w:bottom w:val="single" w:sz="4" w:space="0" w:color="000000"/>
            </w:tcBorders>
            <w:vAlign w:val="bottom"/>
            <w:hideMark/>
          </w:tcPr>
          <w:p w14:paraId="4D66329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Sustainable Employee_</w:t>
            </w:r>
          </w:p>
          <w:p w14:paraId="64AF675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Performance</w:t>
            </w:r>
          </w:p>
        </w:tc>
      </w:tr>
      <w:tr w:rsidR="008A4656" w:rsidRPr="008A4656" w14:paraId="5BE1FF20" w14:textId="77777777" w:rsidTr="008A4656">
        <w:trPr>
          <w:trHeight w:val="477"/>
        </w:trPr>
        <w:tc>
          <w:tcPr>
            <w:tcW w:w="0" w:type="auto"/>
            <w:vMerge w:val="restart"/>
            <w:tcBorders>
              <w:top w:val="single" w:sz="4" w:space="0" w:color="000000"/>
              <w:bottom w:val="single" w:sz="4" w:space="0" w:color="000000"/>
            </w:tcBorders>
            <w:hideMark/>
          </w:tcPr>
          <w:p w14:paraId="1FDD822E"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Management</w:t>
            </w:r>
          </w:p>
        </w:tc>
        <w:tc>
          <w:tcPr>
            <w:tcW w:w="0" w:type="auto"/>
            <w:tcBorders>
              <w:top w:val="single" w:sz="4" w:space="0" w:color="000000"/>
            </w:tcBorders>
            <w:hideMark/>
          </w:tcPr>
          <w:p w14:paraId="0FD7ED0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Pearson Correlation</w:t>
            </w:r>
          </w:p>
        </w:tc>
        <w:tc>
          <w:tcPr>
            <w:tcW w:w="0" w:type="auto"/>
            <w:tcBorders>
              <w:top w:val="single" w:sz="4" w:space="0" w:color="000000"/>
            </w:tcBorders>
            <w:hideMark/>
          </w:tcPr>
          <w:p w14:paraId="69AC5EC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w:t>
            </w:r>
          </w:p>
        </w:tc>
        <w:tc>
          <w:tcPr>
            <w:tcW w:w="0" w:type="auto"/>
            <w:tcBorders>
              <w:top w:val="single" w:sz="4" w:space="0" w:color="000000"/>
            </w:tcBorders>
            <w:hideMark/>
          </w:tcPr>
          <w:p w14:paraId="14BE196C"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.413</w:t>
            </w:r>
            <w:r w:rsidRPr="008A4656">
              <w:rPr>
                <w:rFonts w:ascii="Times New Roman" w:eastAsia="Times New Roman" w:hAnsi="Times New Roman" w:cs="Times New Roman"/>
                <w:color w:val="000000"/>
                <w:kern w:val="0"/>
                <w:sz w:val="13"/>
                <w:szCs w:val="13"/>
                <w:vertAlign w:val="superscript"/>
                <w14:ligatures w14:val="none"/>
              </w:rPr>
              <w:t>**</w:t>
            </w:r>
          </w:p>
        </w:tc>
      </w:tr>
      <w:tr w:rsidR="008A4656" w:rsidRPr="008A4656" w14:paraId="72B7D03B" w14:textId="77777777" w:rsidTr="008A4656">
        <w:trPr>
          <w:trHeight w:val="434"/>
        </w:trPr>
        <w:tc>
          <w:tcPr>
            <w:tcW w:w="0" w:type="auto"/>
            <w:vMerge/>
            <w:tcBorders>
              <w:top w:val="single" w:sz="4" w:space="0" w:color="000000"/>
              <w:bottom w:val="single" w:sz="4" w:space="0" w:color="000000"/>
            </w:tcBorders>
            <w:vAlign w:val="center"/>
            <w:hideMark/>
          </w:tcPr>
          <w:p w14:paraId="080565FD"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hideMark/>
          </w:tcPr>
          <w:p w14:paraId="52265BF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Sig. (2-tailed)</w:t>
            </w:r>
          </w:p>
        </w:tc>
        <w:tc>
          <w:tcPr>
            <w:tcW w:w="0" w:type="auto"/>
            <w:vAlign w:val="center"/>
            <w:hideMark/>
          </w:tcPr>
          <w:p w14:paraId="24A2463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hideMark/>
          </w:tcPr>
          <w:p w14:paraId="006D0DD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.000</w:t>
            </w:r>
          </w:p>
        </w:tc>
      </w:tr>
      <w:tr w:rsidR="008A4656" w:rsidRPr="008A4656" w14:paraId="5D475164" w14:textId="77777777" w:rsidTr="008A4656">
        <w:trPr>
          <w:trHeight w:val="607"/>
        </w:trPr>
        <w:tc>
          <w:tcPr>
            <w:tcW w:w="0" w:type="auto"/>
            <w:vMerge/>
            <w:tcBorders>
              <w:top w:val="single" w:sz="4" w:space="0" w:color="000000"/>
              <w:bottom w:val="single" w:sz="4" w:space="0" w:color="000000"/>
            </w:tcBorders>
            <w:vAlign w:val="center"/>
            <w:hideMark/>
          </w:tcPr>
          <w:p w14:paraId="10BC6851"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hideMark/>
          </w:tcPr>
          <w:p w14:paraId="26FA944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N</w:t>
            </w:r>
          </w:p>
        </w:tc>
        <w:tc>
          <w:tcPr>
            <w:tcW w:w="0" w:type="auto"/>
            <w:hideMark/>
          </w:tcPr>
          <w:p w14:paraId="7616A7F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105</w:t>
            </w:r>
          </w:p>
        </w:tc>
        <w:tc>
          <w:tcPr>
            <w:tcW w:w="0" w:type="auto"/>
            <w:hideMark/>
          </w:tcPr>
          <w:p w14:paraId="5E361EC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105</w:t>
            </w:r>
          </w:p>
        </w:tc>
      </w:tr>
      <w:tr w:rsidR="008A4656" w:rsidRPr="008A4656" w14:paraId="63E96764" w14:textId="77777777" w:rsidTr="008A4656">
        <w:trPr>
          <w:trHeight w:val="521"/>
        </w:trPr>
        <w:tc>
          <w:tcPr>
            <w:tcW w:w="0" w:type="auto"/>
            <w:vMerge w:val="restart"/>
            <w:hideMark/>
          </w:tcPr>
          <w:p w14:paraId="140A63C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Sustainable Employee Performance</w:t>
            </w:r>
          </w:p>
        </w:tc>
        <w:tc>
          <w:tcPr>
            <w:tcW w:w="0" w:type="auto"/>
            <w:hideMark/>
          </w:tcPr>
          <w:p w14:paraId="6DA2020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Pearson Correlation</w:t>
            </w:r>
          </w:p>
        </w:tc>
        <w:tc>
          <w:tcPr>
            <w:tcW w:w="0" w:type="auto"/>
            <w:hideMark/>
          </w:tcPr>
          <w:p w14:paraId="7B34F71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.413</w:t>
            </w:r>
            <w:r w:rsidRPr="008A4656">
              <w:rPr>
                <w:rFonts w:ascii="Times New Roman" w:eastAsia="Times New Roman" w:hAnsi="Times New Roman" w:cs="Times New Roman"/>
                <w:color w:val="000000"/>
                <w:kern w:val="0"/>
                <w:sz w:val="13"/>
                <w:szCs w:val="13"/>
                <w:vertAlign w:val="superscript"/>
                <w14:ligatures w14:val="none"/>
              </w:rPr>
              <w:t>**</w:t>
            </w:r>
          </w:p>
        </w:tc>
        <w:tc>
          <w:tcPr>
            <w:tcW w:w="0" w:type="auto"/>
            <w:hideMark/>
          </w:tcPr>
          <w:p w14:paraId="39F76BA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w:t>
            </w:r>
          </w:p>
        </w:tc>
      </w:tr>
      <w:tr w:rsidR="008A4656" w:rsidRPr="008A4656" w14:paraId="1BFE5E62" w14:textId="77777777" w:rsidTr="008A4656">
        <w:trPr>
          <w:trHeight w:val="521"/>
        </w:trPr>
        <w:tc>
          <w:tcPr>
            <w:tcW w:w="0" w:type="auto"/>
            <w:vMerge/>
            <w:vAlign w:val="center"/>
            <w:hideMark/>
          </w:tcPr>
          <w:p w14:paraId="0C3047FD"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hideMark/>
          </w:tcPr>
          <w:p w14:paraId="3346748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Sig. (2-tailed)</w:t>
            </w:r>
          </w:p>
        </w:tc>
        <w:tc>
          <w:tcPr>
            <w:tcW w:w="0" w:type="auto"/>
            <w:hideMark/>
          </w:tcPr>
          <w:p w14:paraId="30F11AB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.000</w:t>
            </w:r>
          </w:p>
        </w:tc>
        <w:tc>
          <w:tcPr>
            <w:tcW w:w="0" w:type="auto"/>
            <w:vAlign w:val="center"/>
            <w:hideMark/>
          </w:tcPr>
          <w:p w14:paraId="2C999BE5"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r>
      <w:tr w:rsidR="008A4656" w:rsidRPr="008A4656" w14:paraId="479D3DCE" w14:textId="77777777" w:rsidTr="008A4656">
        <w:trPr>
          <w:trHeight w:val="318"/>
        </w:trPr>
        <w:tc>
          <w:tcPr>
            <w:tcW w:w="0" w:type="auto"/>
            <w:vMerge/>
            <w:vAlign w:val="center"/>
            <w:hideMark/>
          </w:tcPr>
          <w:p w14:paraId="0877A64E"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hideMark/>
          </w:tcPr>
          <w:p w14:paraId="7133A37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N</w:t>
            </w:r>
          </w:p>
        </w:tc>
        <w:tc>
          <w:tcPr>
            <w:tcW w:w="0" w:type="auto"/>
            <w:tcBorders>
              <w:bottom w:val="single" w:sz="4" w:space="0" w:color="000000"/>
            </w:tcBorders>
            <w:hideMark/>
          </w:tcPr>
          <w:p w14:paraId="651442E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105</w:t>
            </w:r>
          </w:p>
        </w:tc>
        <w:tc>
          <w:tcPr>
            <w:tcW w:w="0" w:type="auto"/>
            <w:tcBorders>
              <w:bottom w:val="single" w:sz="4" w:space="0" w:color="000000"/>
            </w:tcBorders>
            <w:hideMark/>
          </w:tcPr>
          <w:p w14:paraId="5558B82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105</w:t>
            </w:r>
          </w:p>
        </w:tc>
      </w:tr>
      <w:tr w:rsidR="008A4656" w:rsidRPr="008A4656" w14:paraId="4B2CB7A4" w14:textId="77777777" w:rsidTr="008A4656">
        <w:trPr>
          <w:trHeight w:val="303"/>
        </w:trPr>
        <w:tc>
          <w:tcPr>
            <w:tcW w:w="0" w:type="auto"/>
            <w:gridSpan w:val="4"/>
            <w:tcBorders>
              <w:top w:val="single" w:sz="4" w:space="0" w:color="000000"/>
            </w:tcBorders>
            <w:hideMark/>
          </w:tcPr>
          <w:p w14:paraId="7658E3E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Correlation is significant at the 0.01 level (2-tailed)</w:t>
            </w:r>
            <w:r w:rsidRPr="008A4656">
              <w:rPr>
                <w:rFonts w:ascii="Times New Roman" w:eastAsia="Times New Roman" w:hAnsi="Times New Roman" w:cs="Times New Roman"/>
                <w:color w:val="000000"/>
                <w:kern w:val="0"/>
                <w:sz w:val="24"/>
                <w:szCs w:val="24"/>
                <w14:ligatures w14:val="none"/>
              </w:rPr>
              <w:t>.</w:t>
            </w:r>
          </w:p>
        </w:tc>
      </w:tr>
    </w:tbl>
    <w:p w14:paraId="0D8DDF6E"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i/>
          <w:iCs/>
          <w:color w:val="000000"/>
          <w:kern w:val="0"/>
          <w14:ligatures w14:val="none"/>
        </w:rPr>
        <w:t>(Source: Survey Data,2023)</w:t>
      </w:r>
    </w:p>
    <w:p w14:paraId="16C13211"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As shown in Table 3.7, a strong positive correlation was found between talent management and sustainable employee performance (r = 0.413) which is statistically significant as Sig. 2-tailed test (0.000) is lower than the level of significance (0.01). Therefore, it is proven that talent management and sustainable employee performance.</w:t>
      </w:r>
    </w:p>
    <w:p w14:paraId="0CAA6502"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Furthermore, the researcher has calculated the correlation between talent management and sustainable employee performance was tested. Sig. (2-tailed) the test was applied to test the not significance of the correlation as the advanced hypothesis was non-directional. Table 3.7 depicts the results of the correlation analysis.</w:t>
      </w:r>
    </w:p>
    <w:p w14:paraId="7FF1C55B"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t>3.8. Regression Analysis</w:t>
      </w:r>
    </w:p>
    <w:p w14:paraId="792D26C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Regression Analysis Result – Coefficients Table T</w:t>
      </w:r>
    </w:p>
    <w:tbl>
      <w:tblPr>
        <w:tblW w:w="0" w:type="auto"/>
        <w:tblCellMar>
          <w:top w:w="15" w:type="dxa"/>
          <w:left w:w="15" w:type="dxa"/>
          <w:bottom w:w="15" w:type="dxa"/>
          <w:right w:w="15" w:type="dxa"/>
        </w:tblCellMar>
        <w:tblLook w:val="04A0" w:firstRow="1" w:lastRow="0" w:firstColumn="1" w:lastColumn="0" w:noHBand="0" w:noVBand="1"/>
      </w:tblPr>
      <w:tblGrid>
        <w:gridCol w:w="140"/>
        <w:gridCol w:w="2437"/>
        <w:gridCol w:w="925"/>
        <w:gridCol w:w="1776"/>
        <w:gridCol w:w="2456"/>
        <w:gridCol w:w="525"/>
        <w:gridCol w:w="450"/>
      </w:tblGrid>
      <w:tr w:rsidR="008A4656" w:rsidRPr="008A4656" w14:paraId="0AF29144" w14:textId="77777777" w:rsidTr="008A4656">
        <w:tc>
          <w:tcPr>
            <w:tcW w:w="0" w:type="auto"/>
            <w:gridSpan w:val="2"/>
            <w:vMerge w:val="restart"/>
            <w:tcBorders>
              <w:top w:val="single" w:sz="4" w:space="0" w:color="000000"/>
              <w:bottom w:val="single" w:sz="4" w:space="0" w:color="000000"/>
            </w:tcBorders>
            <w:vAlign w:val="bottom"/>
            <w:hideMark/>
          </w:tcPr>
          <w:p w14:paraId="5435575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Model</w:t>
            </w:r>
          </w:p>
        </w:tc>
        <w:tc>
          <w:tcPr>
            <w:tcW w:w="0" w:type="auto"/>
            <w:gridSpan w:val="2"/>
            <w:tcBorders>
              <w:top w:val="single" w:sz="4" w:space="0" w:color="000000"/>
            </w:tcBorders>
            <w:vAlign w:val="bottom"/>
            <w:hideMark/>
          </w:tcPr>
          <w:p w14:paraId="1D65781C"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Unstandardized Coefficients</w:t>
            </w:r>
          </w:p>
        </w:tc>
        <w:tc>
          <w:tcPr>
            <w:tcW w:w="0" w:type="auto"/>
            <w:tcBorders>
              <w:top w:val="single" w:sz="4" w:space="0" w:color="000000"/>
            </w:tcBorders>
            <w:vAlign w:val="bottom"/>
            <w:hideMark/>
          </w:tcPr>
          <w:p w14:paraId="58BD7E2C"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Standardized Coefficients</w:t>
            </w:r>
          </w:p>
        </w:tc>
        <w:tc>
          <w:tcPr>
            <w:tcW w:w="0" w:type="auto"/>
            <w:tcBorders>
              <w:top w:val="single" w:sz="4" w:space="0" w:color="000000"/>
            </w:tcBorders>
            <w:vAlign w:val="bottom"/>
            <w:hideMark/>
          </w:tcPr>
          <w:p w14:paraId="789E3A1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t</w:t>
            </w:r>
          </w:p>
        </w:tc>
        <w:tc>
          <w:tcPr>
            <w:tcW w:w="0" w:type="auto"/>
            <w:tcBorders>
              <w:top w:val="single" w:sz="4" w:space="0" w:color="000000"/>
            </w:tcBorders>
            <w:vAlign w:val="bottom"/>
            <w:hideMark/>
          </w:tcPr>
          <w:p w14:paraId="6926A77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Sig.</w:t>
            </w:r>
          </w:p>
        </w:tc>
      </w:tr>
      <w:tr w:rsidR="008A4656" w:rsidRPr="008A4656" w14:paraId="7797D4F6" w14:textId="77777777" w:rsidTr="008A4656">
        <w:trPr>
          <w:trHeight w:val="108"/>
        </w:trPr>
        <w:tc>
          <w:tcPr>
            <w:tcW w:w="0" w:type="auto"/>
            <w:gridSpan w:val="2"/>
            <w:vMerge/>
            <w:tcBorders>
              <w:top w:val="single" w:sz="4" w:space="0" w:color="000000"/>
              <w:bottom w:val="single" w:sz="4" w:space="0" w:color="000000"/>
            </w:tcBorders>
            <w:vAlign w:val="center"/>
            <w:hideMark/>
          </w:tcPr>
          <w:p w14:paraId="16BB90CF"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vAlign w:val="bottom"/>
            <w:hideMark/>
          </w:tcPr>
          <w:p w14:paraId="34AF040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B</w:t>
            </w:r>
          </w:p>
        </w:tc>
        <w:tc>
          <w:tcPr>
            <w:tcW w:w="0" w:type="auto"/>
            <w:tcBorders>
              <w:bottom w:val="single" w:sz="4" w:space="0" w:color="000000"/>
            </w:tcBorders>
            <w:vAlign w:val="bottom"/>
            <w:hideMark/>
          </w:tcPr>
          <w:p w14:paraId="393A6E8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Std. Error</w:t>
            </w:r>
          </w:p>
        </w:tc>
        <w:tc>
          <w:tcPr>
            <w:tcW w:w="0" w:type="auto"/>
            <w:tcBorders>
              <w:bottom w:val="single" w:sz="4" w:space="0" w:color="000000"/>
            </w:tcBorders>
            <w:vAlign w:val="bottom"/>
            <w:hideMark/>
          </w:tcPr>
          <w:p w14:paraId="11AF707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Beta</w:t>
            </w:r>
          </w:p>
        </w:tc>
        <w:tc>
          <w:tcPr>
            <w:tcW w:w="0" w:type="auto"/>
            <w:tcBorders>
              <w:bottom w:val="single" w:sz="4" w:space="0" w:color="000000"/>
            </w:tcBorders>
            <w:vAlign w:val="bottom"/>
            <w:hideMark/>
          </w:tcPr>
          <w:p w14:paraId="127B2269"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vAlign w:val="bottom"/>
            <w:hideMark/>
          </w:tcPr>
          <w:p w14:paraId="18E3D610"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r>
      <w:tr w:rsidR="008A4656" w:rsidRPr="008A4656" w14:paraId="18C16642" w14:textId="77777777" w:rsidTr="008A4656">
        <w:trPr>
          <w:trHeight w:val="575"/>
        </w:trPr>
        <w:tc>
          <w:tcPr>
            <w:tcW w:w="0" w:type="auto"/>
            <w:vMerge w:val="restart"/>
            <w:tcBorders>
              <w:top w:val="single" w:sz="4" w:space="0" w:color="000000"/>
              <w:bottom w:val="single" w:sz="4" w:space="0" w:color="000000"/>
            </w:tcBorders>
            <w:hideMark/>
          </w:tcPr>
          <w:p w14:paraId="16D1E79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w:t>
            </w:r>
          </w:p>
        </w:tc>
        <w:tc>
          <w:tcPr>
            <w:tcW w:w="0" w:type="auto"/>
            <w:tcBorders>
              <w:top w:val="single" w:sz="4" w:space="0" w:color="000000"/>
            </w:tcBorders>
            <w:hideMark/>
          </w:tcPr>
          <w:p w14:paraId="0DAD657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(Constant)</w:t>
            </w:r>
          </w:p>
        </w:tc>
        <w:tc>
          <w:tcPr>
            <w:tcW w:w="0" w:type="auto"/>
            <w:tcBorders>
              <w:top w:val="single" w:sz="4" w:space="0" w:color="000000"/>
            </w:tcBorders>
            <w:hideMark/>
          </w:tcPr>
          <w:p w14:paraId="501969A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2.075</w:t>
            </w:r>
          </w:p>
        </w:tc>
        <w:tc>
          <w:tcPr>
            <w:tcW w:w="0" w:type="auto"/>
            <w:tcBorders>
              <w:top w:val="single" w:sz="4" w:space="0" w:color="000000"/>
            </w:tcBorders>
            <w:hideMark/>
          </w:tcPr>
          <w:p w14:paraId="79F62D8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.237</w:t>
            </w:r>
          </w:p>
        </w:tc>
        <w:tc>
          <w:tcPr>
            <w:tcW w:w="0" w:type="auto"/>
            <w:tcBorders>
              <w:top w:val="single" w:sz="4" w:space="0" w:color="000000"/>
            </w:tcBorders>
            <w:vAlign w:val="center"/>
            <w:hideMark/>
          </w:tcPr>
          <w:p w14:paraId="743ED29D"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tcBorders>
            <w:hideMark/>
          </w:tcPr>
          <w:p w14:paraId="2922C10E"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8.750</w:t>
            </w:r>
          </w:p>
        </w:tc>
        <w:tc>
          <w:tcPr>
            <w:tcW w:w="0" w:type="auto"/>
            <w:tcBorders>
              <w:top w:val="single" w:sz="4" w:space="0" w:color="000000"/>
            </w:tcBorders>
            <w:hideMark/>
          </w:tcPr>
          <w:p w14:paraId="3554FED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sz w:val="24"/>
                <w:szCs w:val="24"/>
                <w14:ligatures w14:val="none"/>
              </w:rPr>
              <w:t>.000</w:t>
            </w:r>
          </w:p>
        </w:tc>
      </w:tr>
      <w:tr w:rsidR="008A4656" w:rsidRPr="008A4656" w14:paraId="5D9558EB" w14:textId="77777777" w:rsidTr="008A4656">
        <w:trPr>
          <w:trHeight w:val="945"/>
        </w:trPr>
        <w:tc>
          <w:tcPr>
            <w:tcW w:w="0" w:type="auto"/>
            <w:vMerge/>
            <w:tcBorders>
              <w:top w:val="single" w:sz="4" w:space="0" w:color="000000"/>
              <w:bottom w:val="single" w:sz="4" w:space="0" w:color="000000"/>
            </w:tcBorders>
            <w:vAlign w:val="center"/>
            <w:hideMark/>
          </w:tcPr>
          <w:p w14:paraId="4E7CB7E2"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hideMark/>
          </w:tcPr>
          <w:p w14:paraId="21A7450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Management</w:t>
            </w:r>
          </w:p>
          <w:p w14:paraId="290EDA0F"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39D028B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Attraction</w:t>
            </w:r>
          </w:p>
        </w:tc>
        <w:tc>
          <w:tcPr>
            <w:tcW w:w="0" w:type="auto"/>
            <w:hideMark/>
          </w:tcPr>
          <w:p w14:paraId="01B8032E"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.043</w:t>
            </w:r>
          </w:p>
          <w:p w14:paraId="0B5E9C62"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47A2169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-.037</w:t>
            </w:r>
          </w:p>
        </w:tc>
        <w:tc>
          <w:tcPr>
            <w:tcW w:w="0" w:type="auto"/>
            <w:hideMark/>
          </w:tcPr>
          <w:p w14:paraId="3048CE0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.267</w:t>
            </w:r>
          </w:p>
          <w:p w14:paraId="7413A0ED"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3011968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.071</w:t>
            </w:r>
          </w:p>
        </w:tc>
        <w:tc>
          <w:tcPr>
            <w:tcW w:w="0" w:type="auto"/>
            <w:hideMark/>
          </w:tcPr>
          <w:p w14:paraId="2DC8078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.052</w:t>
            </w:r>
          </w:p>
          <w:p w14:paraId="6DD52A51"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25C55DB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-.068</w:t>
            </w:r>
          </w:p>
        </w:tc>
        <w:tc>
          <w:tcPr>
            <w:tcW w:w="0" w:type="auto"/>
            <w:hideMark/>
          </w:tcPr>
          <w:p w14:paraId="1FA7F0F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.161</w:t>
            </w:r>
          </w:p>
          <w:p w14:paraId="08D33CC0"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2ACE342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-.526</w:t>
            </w:r>
          </w:p>
        </w:tc>
        <w:tc>
          <w:tcPr>
            <w:tcW w:w="0" w:type="auto"/>
            <w:hideMark/>
          </w:tcPr>
          <w:p w14:paraId="43B3313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sz w:val="24"/>
                <w:szCs w:val="24"/>
                <w14:ligatures w14:val="none"/>
              </w:rPr>
              <w:t>.872</w:t>
            </w:r>
          </w:p>
          <w:p w14:paraId="4C746A57"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2920778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sz w:val="24"/>
                <w:szCs w:val="24"/>
                <w14:ligatures w14:val="none"/>
              </w:rPr>
              <w:t>.600</w:t>
            </w:r>
          </w:p>
        </w:tc>
      </w:tr>
      <w:tr w:rsidR="008A4656" w:rsidRPr="008A4656" w14:paraId="4BA25963" w14:textId="77777777" w:rsidTr="008A4656">
        <w:trPr>
          <w:trHeight w:val="783"/>
        </w:trPr>
        <w:tc>
          <w:tcPr>
            <w:tcW w:w="0" w:type="auto"/>
            <w:vMerge/>
            <w:tcBorders>
              <w:top w:val="single" w:sz="4" w:space="0" w:color="000000"/>
              <w:bottom w:val="single" w:sz="4" w:space="0" w:color="000000"/>
            </w:tcBorders>
            <w:vAlign w:val="center"/>
            <w:hideMark/>
          </w:tcPr>
          <w:p w14:paraId="45810D08"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hideMark/>
          </w:tcPr>
          <w:p w14:paraId="02DDC7B3"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1142BEB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Retention</w:t>
            </w:r>
          </w:p>
        </w:tc>
        <w:tc>
          <w:tcPr>
            <w:tcW w:w="0" w:type="auto"/>
            <w:hideMark/>
          </w:tcPr>
          <w:p w14:paraId="489A9400"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6D2C8C9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.011</w:t>
            </w:r>
          </w:p>
        </w:tc>
        <w:tc>
          <w:tcPr>
            <w:tcW w:w="0" w:type="auto"/>
            <w:hideMark/>
          </w:tcPr>
          <w:p w14:paraId="611AF085"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618A12D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.067</w:t>
            </w:r>
          </w:p>
        </w:tc>
        <w:tc>
          <w:tcPr>
            <w:tcW w:w="0" w:type="auto"/>
            <w:hideMark/>
          </w:tcPr>
          <w:p w14:paraId="09013A2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0F212D5C"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.021</w:t>
            </w:r>
          </w:p>
        </w:tc>
        <w:tc>
          <w:tcPr>
            <w:tcW w:w="0" w:type="auto"/>
            <w:hideMark/>
          </w:tcPr>
          <w:p w14:paraId="06D5DC92"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557B7EB7"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.161</w:t>
            </w:r>
          </w:p>
        </w:tc>
        <w:tc>
          <w:tcPr>
            <w:tcW w:w="0" w:type="auto"/>
            <w:hideMark/>
          </w:tcPr>
          <w:p w14:paraId="7DB91CBA"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418FFB2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sz w:val="24"/>
                <w:szCs w:val="24"/>
                <w14:ligatures w14:val="none"/>
              </w:rPr>
              <w:t>.872</w:t>
            </w:r>
          </w:p>
        </w:tc>
      </w:tr>
      <w:tr w:rsidR="008A4656" w:rsidRPr="008A4656" w14:paraId="2435389D" w14:textId="77777777" w:rsidTr="008A4656">
        <w:trPr>
          <w:trHeight w:val="792"/>
        </w:trPr>
        <w:tc>
          <w:tcPr>
            <w:tcW w:w="0" w:type="auto"/>
            <w:vMerge/>
            <w:tcBorders>
              <w:top w:val="single" w:sz="4" w:space="0" w:color="000000"/>
              <w:bottom w:val="single" w:sz="4" w:space="0" w:color="000000"/>
            </w:tcBorders>
            <w:vAlign w:val="center"/>
            <w:hideMark/>
          </w:tcPr>
          <w:p w14:paraId="2E4C057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hideMark/>
          </w:tcPr>
          <w:p w14:paraId="357B035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Learning and Development</w:t>
            </w:r>
          </w:p>
        </w:tc>
        <w:tc>
          <w:tcPr>
            <w:tcW w:w="0" w:type="auto"/>
            <w:hideMark/>
          </w:tcPr>
          <w:p w14:paraId="4B3C21A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.136</w:t>
            </w:r>
          </w:p>
        </w:tc>
        <w:tc>
          <w:tcPr>
            <w:tcW w:w="0" w:type="auto"/>
            <w:hideMark/>
          </w:tcPr>
          <w:p w14:paraId="5CE3157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.042</w:t>
            </w:r>
          </w:p>
        </w:tc>
        <w:tc>
          <w:tcPr>
            <w:tcW w:w="0" w:type="auto"/>
            <w:hideMark/>
          </w:tcPr>
          <w:p w14:paraId="0EBAAF3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.270</w:t>
            </w:r>
          </w:p>
        </w:tc>
        <w:tc>
          <w:tcPr>
            <w:tcW w:w="0" w:type="auto"/>
            <w:hideMark/>
          </w:tcPr>
          <w:p w14:paraId="2AE009E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3.212</w:t>
            </w:r>
          </w:p>
        </w:tc>
        <w:tc>
          <w:tcPr>
            <w:tcW w:w="0" w:type="auto"/>
            <w:hideMark/>
          </w:tcPr>
          <w:p w14:paraId="6FE7A1C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sz w:val="24"/>
                <w:szCs w:val="24"/>
                <w14:ligatures w14:val="none"/>
              </w:rPr>
              <w:t>.002</w:t>
            </w:r>
          </w:p>
        </w:tc>
      </w:tr>
      <w:tr w:rsidR="008A4656" w:rsidRPr="008A4656" w14:paraId="2675ECD9" w14:textId="77777777" w:rsidTr="008A4656">
        <w:trPr>
          <w:trHeight w:val="567"/>
        </w:trPr>
        <w:tc>
          <w:tcPr>
            <w:tcW w:w="0" w:type="auto"/>
            <w:vMerge/>
            <w:tcBorders>
              <w:top w:val="single" w:sz="4" w:space="0" w:color="000000"/>
              <w:bottom w:val="single" w:sz="4" w:space="0" w:color="000000"/>
            </w:tcBorders>
            <w:vAlign w:val="center"/>
            <w:hideMark/>
          </w:tcPr>
          <w:p w14:paraId="28C9AE3C"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hideMark/>
          </w:tcPr>
          <w:p w14:paraId="5C2E0D6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Career Management</w:t>
            </w:r>
          </w:p>
        </w:tc>
        <w:tc>
          <w:tcPr>
            <w:tcW w:w="0" w:type="auto"/>
            <w:tcBorders>
              <w:bottom w:val="single" w:sz="4" w:space="0" w:color="000000"/>
            </w:tcBorders>
            <w:hideMark/>
          </w:tcPr>
          <w:p w14:paraId="6DC5584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.395</w:t>
            </w:r>
          </w:p>
        </w:tc>
        <w:tc>
          <w:tcPr>
            <w:tcW w:w="0" w:type="auto"/>
            <w:tcBorders>
              <w:bottom w:val="single" w:sz="4" w:space="0" w:color="000000"/>
            </w:tcBorders>
            <w:hideMark/>
          </w:tcPr>
          <w:p w14:paraId="46D85B2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.060</w:t>
            </w:r>
          </w:p>
        </w:tc>
        <w:tc>
          <w:tcPr>
            <w:tcW w:w="0" w:type="auto"/>
            <w:tcBorders>
              <w:bottom w:val="single" w:sz="4" w:space="0" w:color="000000"/>
            </w:tcBorders>
            <w:hideMark/>
          </w:tcPr>
          <w:p w14:paraId="752EE75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.540</w:t>
            </w:r>
          </w:p>
        </w:tc>
        <w:tc>
          <w:tcPr>
            <w:tcW w:w="0" w:type="auto"/>
            <w:tcBorders>
              <w:bottom w:val="single" w:sz="4" w:space="0" w:color="000000"/>
            </w:tcBorders>
            <w:hideMark/>
          </w:tcPr>
          <w:p w14:paraId="236D3F6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6.616</w:t>
            </w:r>
          </w:p>
        </w:tc>
        <w:tc>
          <w:tcPr>
            <w:tcW w:w="0" w:type="auto"/>
            <w:tcBorders>
              <w:bottom w:val="single" w:sz="4" w:space="0" w:color="000000"/>
            </w:tcBorders>
            <w:hideMark/>
          </w:tcPr>
          <w:p w14:paraId="3126541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sz w:val="24"/>
                <w:szCs w:val="24"/>
                <w14:ligatures w14:val="none"/>
              </w:rPr>
              <w:t>.000</w:t>
            </w:r>
          </w:p>
        </w:tc>
      </w:tr>
      <w:tr w:rsidR="008A4656" w:rsidRPr="008A4656" w14:paraId="0B7C54C4" w14:textId="77777777" w:rsidTr="008A4656">
        <w:tc>
          <w:tcPr>
            <w:tcW w:w="0" w:type="auto"/>
            <w:gridSpan w:val="7"/>
            <w:tcBorders>
              <w:top w:val="single" w:sz="4" w:space="0" w:color="000000"/>
            </w:tcBorders>
            <w:hideMark/>
          </w:tcPr>
          <w:p w14:paraId="150C148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a. Dependent Variable: Sustainable_Employee_Performance </w:t>
            </w:r>
          </w:p>
        </w:tc>
      </w:tr>
    </w:tbl>
    <w:p w14:paraId="3BCC8EE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i/>
          <w:iCs/>
          <w:color w:val="000000"/>
          <w:kern w:val="0"/>
          <w14:ligatures w14:val="none"/>
        </w:rPr>
        <w:t>(Source: Survey Data,2023)</w:t>
      </w:r>
    </w:p>
    <w:p w14:paraId="3192705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Table 3.8 shows the coefficient table of the regression analysis. B value of the table represents the degree to which extent the dependent variable can be affected by a certain independent variable while other independent variables remain constant.</w:t>
      </w:r>
    </w:p>
    <w:p w14:paraId="59EC4CDC"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w:t>
      </w:r>
      <w:r w:rsidRPr="008A4656">
        <w:rPr>
          <w:rFonts w:ascii="Times New Roman" w:eastAsia="Times New Roman" w:hAnsi="Times New Roman" w:cs="Times New Roman"/>
          <w:color w:val="000000"/>
          <w:kern w:val="0"/>
          <w14:ligatures w14:val="none"/>
        </w:rPr>
        <w:tab/>
        <w:t>Talent attraction has a -0.037 B value which indicates that when talent attraction increases by 1 unit, sustainable employee performance increases by -0.037 units while other independent variables remain constant and vice versa this conclusion can also be done with a 40% confidence interval since the significant level is 0.600.</w:t>
      </w:r>
    </w:p>
    <w:p w14:paraId="594D87E9"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Talent retention has a 0.011 B value which indicates that when talent retention increases by 1 unit, sustainable employee performance increases by 0.011 units while other independent variables remain constant and vice versa this conclusion can also be done with a 13% confidence interval since the significant level is 0.872.</w:t>
      </w:r>
    </w:p>
    <w:p w14:paraId="0E63D661"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B coefficient for learning and development is 0 .136 indicates that increasing 1 unit of meaning causes to increase in sustainable employee performance in 0.136 units while other independent variables remain constant. This conclusion can be done with a 100% confidence interval since the significant level is 0.002.</w:t>
      </w:r>
    </w:p>
    <w:p w14:paraId="27240DD3"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Career management involves a 0.103 B value, which denotes that when career management increases by 1-unit sustainable employee performance also increase by 0.395 units and vice versa. This conclusion can also be done with a 100% confidence interval since the significant level is 0.000.</w:t>
      </w:r>
    </w:p>
    <w:p w14:paraId="2D330F2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regression model can be built as follows. </w:t>
      </w:r>
    </w:p>
    <w:p w14:paraId="1AD9FBAE"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Y = β0 + X1β1 + X2 β2 </w:t>
      </w:r>
    </w:p>
    <w:p w14:paraId="3798FCE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Were, </w:t>
      </w:r>
    </w:p>
    <w:p w14:paraId="032A263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Y = sustainable employee performance </w:t>
      </w:r>
    </w:p>
    <w:p w14:paraId="0308199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β0 = Constant (The intercept of Y) </w:t>
      </w:r>
    </w:p>
    <w:p w14:paraId="68C99B8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X1 = learning and development </w:t>
      </w:r>
    </w:p>
    <w:p w14:paraId="195F8DC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X2 = career management </w:t>
      </w:r>
    </w:p>
    <w:p w14:paraId="01D00A41"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As per the above-stated theoretical foundation, the regression equation of this study can be built as follows.</w:t>
      </w:r>
    </w:p>
    <w:p w14:paraId="2526211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regression equation of the study model can be depicted as follows;</w:t>
      </w:r>
    </w:p>
    <w:p w14:paraId="42D0B2D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Sustainable Employee Performance = 2.075 + 0.136 (learning and development) + 0.395 (career management) </w:t>
      </w:r>
    </w:p>
    <w:p w14:paraId="5B69F57D" w14:textId="77777777" w:rsidR="008A4656" w:rsidRPr="008A4656" w:rsidRDefault="008A4656" w:rsidP="008A4656">
      <w:pPr>
        <w:spacing w:before="40" w:after="0" w:line="240" w:lineRule="auto"/>
        <w:outlineLvl w:val="1"/>
        <w:rPr>
          <w:rFonts w:ascii="Times New Roman" w:eastAsia="Times New Roman" w:hAnsi="Times New Roman" w:cs="Times New Roman"/>
          <w:b/>
          <w:bCs/>
          <w:kern w:val="0"/>
          <w:sz w:val="36"/>
          <w:szCs w:val="36"/>
          <w14:ligatures w14:val="none"/>
        </w:rPr>
      </w:pPr>
      <w:r w:rsidRPr="008A4656">
        <w:rPr>
          <w:rFonts w:ascii="Times New Roman" w:eastAsia="Times New Roman" w:hAnsi="Times New Roman" w:cs="Times New Roman"/>
          <w:b/>
          <w:bCs/>
          <w:color w:val="000000"/>
          <w:kern w:val="0"/>
          <w:sz w:val="24"/>
          <w:szCs w:val="24"/>
          <w14:ligatures w14:val="none"/>
        </w:rPr>
        <w:lastRenderedPageBreak/>
        <w:t>3.9. Hypothesis Testing.</w:t>
      </w:r>
    </w:p>
    <w:p w14:paraId="0AFBA144"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1186"/>
        <w:gridCol w:w="577"/>
        <w:gridCol w:w="1259"/>
        <w:gridCol w:w="640"/>
        <w:gridCol w:w="1090"/>
        <w:gridCol w:w="2513"/>
        <w:gridCol w:w="2040"/>
        <w:gridCol w:w="35"/>
      </w:tblGrid>
      <w:tr w:rsidR="008A4656" w:rsidRPr="008A4656" w14:paraId="16A236F5" w14:textId="77777777" w:rsidTr="008A4656">
        <w:trPr>
          <w:gridAfter w:val="1"/>
          <w:trHeight w:val="645"/>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726673E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Research objective</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F79930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H</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60B38A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Variables</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0789643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Data type</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3CD5798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Test</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64A30B3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Results</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DF18C5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Interpretation</w:t>
            </w:r>
          </w:p>
        </w:tc>
      </w:tr>
      <w:tr w:rsidR="008A4656" w:rsidRPr="008A4656" w14:paraId="4ABA1ABB" w14:textId="77777777" w:rsidTr="008A4656">
        <w:trPr>
          <w:gridAfter w:val="1"/>
          <w:trHeight w:val="2385"/>
        </w:trPr>
        <w:tc>
          <w:tcPr>
            <w:tcW w:w="0" w:type="auto"/>
            <w:vMerge w:val="restart"/>
            <w:tcBorders>
              <w:top w:val="single" w:sz="8"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68231BC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Relationship</w:t>
            </w:r>
          </w:p>
        </w:tc>
        <w:tc>
          <w:tcPr>
            <w:tcW w:w="0" w:type="auto"/>
            <w:vMerge w:val="restart"/>
            <w:tcBorders>
              <w:top w:val="single" w:sz="8" w:space="0" w:color="000000"/>
              <w:left w:val="single" w:sz="8" w:space="0" w:color="000000"/>
              <w:right w:val="single" w:sz="8" w:space="0" w:color="000000"/>
            </w:tcBorders>
            <w:tcMar>
              <w:top w:w="0" w:type="dxa"/>
              <w:left w:w="115" w:type="dxa"/>
              <w:bottom w:w="0" w:type="dxa"/>
              <w:right w:w="115" w:type="dxa"/>
            </w:tcMar>
            <w:vAlign w:val="center"/>
            <w:hideMark/>
          </w:tcPr>
          <w:p w14:paraId="25EEC6FE"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H1</w:t>
            </w:r>
          </w:p>
        </w:tc>
        <w:tc>
          <w:tcPr>
            <w:tcW w:w="0" w:type="auto"/>
            <w:vMerge w:val="restart"/>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454BC3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Dependent variables -  Sustainable Employee Performance</w:t>
            </w:r>
          </w:p>
        </w:tc>
        <w:tc>
          <w:tcPr>
            <w:tcW w:w="0" w:type="auto"/>
            <w:vMerge w:val="restart"/>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1C6525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Scale</w:t>
            </w:r>
          </w:p>
        </w:tc>
        <w:tc>
          <w:tcPr>
            <w:tcW w:w="0" w:type="auto"/>
            <w:vMerge w:val="restart"/>
            <w:tcBorders>
              <w:top w:val="single" w:sz="8"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4050C55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Correlation</w:t>
            </w:r>
          </w:p>
        </w:tc>
        <w:tc>
          <w:tcPr>
            <w:tcW w:w="0" w:type="auto"/>
            <w:vMerge w:val="restart"/>
            <w:tcBorders>
              <w:top w:val="single" w:sz="8"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75AE90BC"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B = .413   Sig. =.000    </w:t>
            </w:r>
          </w:p>
        </w:tc>
        <w:tc>
          <w:tcPr>
            <w:tcW w:w="0" w:type="auto"/>
            <w:vMerge w:val="restart"/>
            <w:tcBorders>
              <w:top w:val="single" w:sz="8" w:space="0" w:color="000000"/>
              <w:left w:val="single" w:sz="8" w:space="0" w:color="000000"/>
              <w:right w:val="single" w:sz="8" w:space="0" w:color="000000"/>
            </w:tcBorders>
            <w:tcMar>
              <w:top w:w="0" w:type="dxa"/>
              <w:left w:w="115" w:type="dxa"/>
              <w:bottom w:w="0" w:type="dxa"/>
              <w:right w:w="115" w:type="dxa"/>
            </w:tcMar>
            <w:vAlign w:val="center"/>
            <w:hideMark/>
          </w:tcPr>
          <w:p w14:paraId="44F3741B"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H1: There is a significant relationship of  implementing talent management practices and sustainable employee performance</w:t>
            </w:r>
          </w:p>
        </w:tc>
      </w:tr>
      <w:tr w:rsidR="008A4656" w:rsidRPr="008A4656" w14:paraId="23424D9C" w14:textId="77777777" w:rsidTr="008A4656">
        <w:trPr>
          <w:trHeight w:val="433"/>
        </w:trPr>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60A0597D"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right w:val="single" w:sz="8" w:space="0" w:color="000000"/>
            </w:tcBorders>
            <w:vAlign w:val="center"/>
            <w:hideMark/>
          </w:tcPr>
          <w:p w14:paraId="0295FD49"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F228A13"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B17C95A"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5A94795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0D00750C"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right w:val="single" w:sz="8" w:space="0" w:color="000000"/>
            </w:tcBorders>
            <w:vAlign w:val="center"/>
            <w:hideMark/>
          </w:tcPr>
          <w:p w14:paraId="659710C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Align w:val="center"/>
            <w:hideMark/>
          </w:tcPr>
          <w:p w14:paraId="6F6C27DD"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r>
      <w:tr w:rsidR="008A4656" w:rsidRPr="008A4656" w14:paraId="77DCD540" w14:textId="77777777" w:rsidTr="008A4656">
        <w:trPr>
          <w:trHeight w:val="2850"/>
        </w:trPr>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41A82B1F"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right w:val="single" w:sz="8" w:space="0" w:color="000000"/>
            </w:tcBorders>
            <w:vAlign w:val="center"/>
            <w:hideMark/>
          </w:tcPr>
          <w:p w14:paraId="6B8B08BE"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8"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4FDB61F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Independent Variables - Talent attraction, talent retention , Learning and development , career Management</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2E4A7E8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Scale</w:t>
            </w: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7AE4B830"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337AFDA7"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right w:val="single" w:sz="8" w:space="0" w:color="000000"/>
            </w:tcBorders>
            <w:vAlign w:val="center"/>
            <w:hideMark/>
          </w:tcPr>
          <w:p w14:paraId="1061BF05"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Align w:val="center"/>
            <w:hideMark/>
          </w:tcPr>
          <w:p w14:paraId="10E9E402"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3E623B2D" w14:textId="77777777" w:rsidTr="008A4656">
        <w:trPr>
          <w:trHeight w:val="1500"/>
        </w:trPr>
        <w:tc>
          <w:tcPr>
            <w:tcW w:w="0" w:type="auto"/>
            <w:vMerge w:val="restart"/>
            <w:tcBorders>
              <w:top w:val="single" w:sz="12"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6DEDDEC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Impact</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5987582C"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H1a</w:t>
            </w:r>
          </w:p>
        </w:tc>
        <w:tc>
          <w:tcPr>
            <w:tcW w:w="0" w:type="auto"/>
            <w:tcBorders>
              <w:top w:val="single" w:sz="12" w:space="0" w:color="000000"/>
              <w:left w:val="single" w:sz="8" w:space="0" w:color="000000"/>
              <w:bottom w:val="single" w:sz="4" w:space="0" w:color="000000"/>
              <w:right w:val="single" w:sz="8" w:space="0" w:color="000000"/>
            </w:tcBorders>
            <w:tcMar>
              <w:top w:w="0" w:type="dxa"/>
              <w:left w:w="115" w:type="dxa"/>
              <w:bottom w:w="0" w:type="dxa"/>
              <w:right w:w="115" w:type="dxa"/>
            </w:tcMar>
            <w:vAlign w:val="center"/>
            <w:hideMark/>
          </w:tcPr>
          <w:p w14:paraId="384E638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Dependent variables -  Sustainable Employee Performance</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324D203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Scale</w:t>
            </w:r>
          </w:p>
        </w:tc>
        <w:tc>
          <w:tcPr>
            <w:tcW w:w="0" w:type="auto"/>
            <w:vMerge w:val="restart"/>
            <w:tcBorders>
              <w:top w:val="single" w:sz="12"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3D8ABB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Simple Regression</w:t>
            </w:r>
          </w:p>
        </w:tc>
        <w:tc>
          <w:tcPr>
            <w:tcW w:w="0" w:type="auto"/>
            <w:vMerge w:val="restart"/>
            <w:tcBorders>
              <w:top w:val="single" w:sz="12"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3A40D3B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B = .000</w:t>
            </w:r>
          </w:p>
          <w:p w14:paraId="6405EDF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Sig.=.989</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5286ED3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H1 a - There is a significant impact of implementing talent Attraction on sustainable employee performance.            </w:t>
            </w:r>
            <w:r w:rsidRPr="008A4656">
              <w:rPr>
                <w:rFonts w:ascii="Times New Roman" w:eastAsia="Times New Roman" w:hAnsi="Times New Roman" w:cs="Times New Roman"/>
                <w:b/>
                <w:bCs/>
                <w:color w:val="000000"/>
                <w:kern w:val="0"/>
                <w14:ligatures w14:val="none"/>
              </w:rPr>
              <w:t>H1 a rejected</w:t>
            </w:r>
          </w:p>
        </w:tc>
        <w:tc>
          <w:tcPr>
            <w:tcW w:w="0" w:type="auto"/>
            <w:vAlign w:val="center"/>
            <w:hideMark/>
          </w:tcPr>
          <w:p w14:paraId="1D46C0E1"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473437CB" w14:textId="77777777" w:rsidTr="008A4656">
        <w:trPr>
          <w:trHeight w:val="1515"/>
        </w:trPr>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5984F31B"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5C6F30C4"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30AEC6D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Independent Variables - Talent Attraction</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3C0FE93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Scale</w:t>
            </w:r>
          </w:p>
        </w:tc>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497205FF"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365CD184"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21DE928A"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Align w:val="center"/>
            <w:hideMark/>
          </w:tcPr>
          <w:p w14:paraId="72A88CF3"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671B1F5A" w14:textId="77777777" w:rsidTr="008A4656">
        <w:trPr>
          <w:trHeight w:val="1605"/>
        </w:trPr>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394D47C7"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Impact</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64C77FB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H1b</w:t>
            </w:r>
          </w:p>
        </w:tc>
        <w:tc>
          <w:tcPr>
            <w:tcW w:w="0" w:type="auto"/>
            <w:tcBorders>
              <w:top w:val="single" w:sz="12" w:space="0" w:color="000000"/>
              <w:left w:val="single" w:sz="8" w:space="0" w:color="000000"/>
              <w:bottom w:val="single" w:sz="4" w:space="0" w:color="000000"/>
              <w:right w:val="single" w:sz="8" w:space="0" w:color="000000"/>
            </w:tcBorders>
            <w:tcMar>
              <w:top w:w="0" w:type="dxa"/>
              <w:left w:w="115" w:type="dxa"/>
              <w:bottom w:w="0" w:type="dxa"/>
              <w:right w:w="115" w:type="dxa"/>
            </w:tcMar>
            <w:vAlign w:val="center"/>
            <w:hideMark/>
          </w:tcPr>
          <w:p w14:paraId="547CB62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Dependent variables -  Sustainable Employee </w:t>
            </w:r>
            <w:r w:rsidRPr="008A4656">
              <w:rPr>
                <w:rFonts w:ascii="Times New Roman" w:eastAsia="Times New Roman" w:hAnsi="Times New Roman" w:cs="Times New Roman"/>
                <w:color w:val="000000"/>
                <w:kern w:val="0"/>
                <w14:ligatures w14:val="none"/>
              </w:rPr>
              <w:lastRenderedPageBreak/>
              <w:t>Performance</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4F64C1F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lastRenderedPageBreak/>
              <w:t>Scale</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6773269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Simple Regression</w:t>
            </w:r>
          </w:p>
        </w:tc>
        <w:tc>
          <w:tcPr>
            <w:tcW w:w="0" w:type="auto"/>
            <w:vMerge w:val="restart"/>
            <w:tcBorders>
              <w:top w:val="single" w:sz="8"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479BFEE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B = .051                   Sig = .317</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468E45B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H1 a - There is a significant impact of implementing talent retention on sustainable employee </w:t>
            </w:r>
            <w:r w:rsidRPr="008A4656">
              <w:rPr>
                <w:rFonts w:ascii="Times New Roman" w:eastAsia="Times New Roman" w:hAnsi="Times New Roman" w:cs="Times New Roman"/>
                <w:color w:val="000000"/>
                <w:kern w:val="0"/>
                <w14:ligatures w14:val="none"/>
              </w:rPr>
              <w:lastRenderedPageBreak/>
              <w:t xml:space="preserve">performance.            </w:t>
            </w:r>
            <w:r w:rsidRPr="008A4656">
              <w:rPr>
                <w:rFonts w:ascii="Times New Roman" w:eastAsia="Times New Roman" w:hAnsi="Times New Roman" w:cs="Times New Roman"/>
                <w:b/>
                <w:bCs/>
                <w:color w:val="000000"/>
                <w:kern w:val="0"/>
                <w14:ligatures w14:val="none"/>
              </w:rPr>
              <w:t>H1 a rejected</w:t>
            </w:r>
          </w:p>
        </w:tc>
        <w:tc>
          <w:tcPr>
            <w:tcW w:w="0" w:type="auto"/>
            <w:vAlign w:val="center"/>
            <w:hideMark/>
          </w:tcPr>
          <w:p w14:paraId="5B159C54"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6D91326B" w14:textId="77777777" w:rsidTr="008A4656">
        <w:trPr>
          <w:trHeight w:val="1275"/>
        </w:trPr>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168E9B8F"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77F28AF2"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2EC9697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Independent Variables - Talent Retention</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7FE0B8B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Scale</w:t>
            </w: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6B1C7D82"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3F07C376"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27E25A9D"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Align w:val="center"/>
            <w:hideMark/>
          </w:tcPr>
          <w:p w14:paraId="31BAFD39"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6465EE17" w14:textId="77777777" w:rsidTr="008A4656">
        <w:trPr>
          <w:trHeight w:val="1605"/>
        </w:trPr>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7648345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Impact</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4B0D0F6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H1 c</w:t>
            </w:r>
          </w:p>
        </w:tc>
        <w:tc>
          <w:tcPr>
            <w:tcW w:w="0" w:type="auto"/>
            <w:tcBorders>
              <w:top w:val="single" w:sz="12" w:space="0" w:color="000000"/>
              <w:left w:val="single" w:sz="8" w:space="0" w:color="000000"/>
              <w:bottom w:val="single" w:sz="4" w:space="0" w:color="000000"/>
              <w:right w:val="single" w:sz="8" w:space="0" w:color="000000"/>
            </w:tcBorders>
            <w:tcMar>
              <w:top w:w="0" w:type="dxa"/>
              <w:left w:w="115" w:type="dxa"/>
              <w:bottom w:w="0" w:type="dxa"/>
              <w:right w:w="115" w:type="dxa"/>
            </w:tcMar>
            <w:vAlign w:val="center"/>
            <w:hideMark/>
          </w:tcPr>
          <w:p w14:paraId="4F13B60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Dependent variables -  Sustainable Employee Performance</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423A464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Scale</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50A75D5F"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Simple Regression</w:t>
            </w:r>
          </w:p>
        </w:tc>
        <w:tc>
          <w:tcPr>
            <w:tcW w:w="0" w:type="auto"/>
            <w:vMerge w:val="restart"/>
            <w:tcBorders>
              <w:top w:val="single" w:sz="12"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3FB5F33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B = .264                                    Sig = .000 </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42400F1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H1 a - There is a significant impact of implementing learning and development on sustainable employee performance.            </w:t>
            </w:r>
            <w:r w:rsidRPr="008A4656">
              <w:rPr>
                <w:rFonts w:ascii="Times New Roman" w:eastAsia="Times New Roman" w:hAnsi="Times New Roman" w:cs="Times New Roman"/>
                <w:b/>
                <w:bCs/>
                <w:color w:val="000000"/>
                <w:kern w:val="0"/>
                <w14:ligatures w14:val="none"/>
              </w:rPr>
              <w:t>H1 c Accepted</w:t>
            </w:r>
          </w:p>
        </w:tc>
        <w:tc>
          <w:tcPr>
            <w:tcW w:w="0" w:type="auto"/>
            <w:vAlign w:val="center"/>
            <w:hideMark/>
          </w:tcPr>
          <w:p w14:paraId="2E8FF991"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75050420" w14:textId="77777777" w:rsidTr="008A4656">
        <w:trPr>
          <w:trHeight w:val="1275"/>
        </w:trPr>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356BCDF6"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03C91589"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44BE0F7"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Independent Variables - Learning and Development</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7E02466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Scale</w:t>
            </w: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38540C74"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0B6E7D9C"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28D57761"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Align w:val="center"/>
            <w:hideMark/>
          </w:tcPr>
          <w:p w14:paraId="20519670"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1A1DE7AE" w14:textId="77777777" w:rsidTr="008A4656">
        <w:trPr>
          <w:trHeight w:val="1605"/>
        </w:trPr>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5C7C3DB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Impact</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2558FD6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b/>
                <w:bCs/>
                <w:color w:val="000000"/>
                <w:kern w:val="0"/>
                <w14:ligatures w14:val="none"/>
              </w:rPr>
              <w:t>H1d</w:t>
            </w:r>
          </w:p>
        </w:tc>
        <w:tc>
          <w:tcPr>
            <w:tcW w:w="0" w:type="auto"/>
            <w:tcBorders>
              <w:top w:val="single" w:sz="8"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61FD794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Dependent variables -  Sustainable Employee Performance</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421BEF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Scale</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2DA778A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Simple Regression</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0CCC424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B = .481</w:t>
            </w:r>
          </w:p>
          <w:p w14:paraId="1316C28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Sig. =.000</w:t>
            </w:r>
          </w:p>
        </w:tc>
        <w:tc>
          <w:tcPr>
            <w:tcW w:w="0" w:type="auto"/>
            <w:vMerge w:val="restart"/>
            <w:tcBorders>
              <w:top w:val="single" w:sz="12" w:space="0" w:color="000000"/>
              <w:left w:val="single" w:sz="8" w:space="0" w:color="000000"/>
              <w:bottom w:val="single" w:sz="12" w:space="0" w:color="000000"/>
              <w:right w:val="single" w:sz="8" w:space="0" w:color="000000"/>
            </w:tcBorders>
            <w:tcMar>
              <w:top w:w="0" w:type="dxa"/>
              <w:left w:w="115" w:type="dxa"/>
              <w:bottom w:w="0" w:type="dxa"/>
              <w:right w:w="115" w:type="dxa"/>
            </w:tcMar>
            <w:vAlign w:val="center"/>
            <w:hideMark/>
          </w:tcPr>
          <w:p w14:paraId="6B31AC1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H1 d - There is a significant impact of implementing Career management on sustainable employee performance           </w:t>
            </w:r>
            <w:r w:rsidRPr="008A4656">
              <w:rPr>
                <w:rFonts w:ascii="Times New Roman" w:eastAsia="Times New Roman" w:hAnsi="Times New Roman" w:cs="Times New Roman"/>
                <w:b/>
                <w:bCs/>
                <w:color w:val="000000"/>
                <w:kern w:val="0"/>
                <w14:ligatures w14:val="none"/>
              </w:rPr>
              <w:t> H1 d : Accepted</w:t>
            </w:r>
          </w:p>
        </w:tc>
        <w:tc>
          <w:tcPr>
            <w:tcW w:w="0" w:type="auto"/>
            <w:vAlign w:val="center"/>
            <w:hideMark/>
          </w:tcPr>
          <w:p w14:paraId="6BA45355"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r w:rsidR="008A4656" w:rsidRPr="008A4656" w14:paraId="65EA3B54" w14:textId="77777777" w:rsidTr="008A4656">
        <w:trPr>
          <w:trHeight w:val="1260"/>
        </w:trPr>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084DC52C"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2A91DCFC"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12"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38D78BA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Independent Variables - career Management</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4014A8C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Scale</w:t>
            </w: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739AEB52"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1942A89F"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12" w:space="0" w:color="000000"/>
              <w:left w:val="single" w:sz="8" w:space="0" w:color="000000"/>
              <w:bottom w:val="single" w:sz="12" w:space="0" w:color="000000"/>
              <w:right w:val="single" w:sz="8" w:space="0" w:color="000000"/>
            </w:tcBorders>
            <w:vAlign w:val="center"/>
            <w:hideMark/>
          </w:tcPr>
          <w:p w14:paraId="2D4B8ABE"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tc>
        <w:tc>
          <w:tcPr>
            <w:tcW w:w="0" w:type="auto"/>
            <w:vAlign w:val="center"/>
            <w:hideMark/>
          </w:tcPr>
          <w:p w14:paraId="46167097" w14:textId="77777777" w:rsidR="008A4656" w:rsidRPr="008A4656" w:rsidRDefault="008A4656" w:rsidP="008A4656">
            <w:pPr>
              <w:spacing w:after="0" w:line="240" w:lineRule="auto"/>
              <w:rPr>
                <w:rFonts w:ascii="Times New Roman" w:eastAsia="Times New Roman" w:hAnsi="Times New Roman" w:cs="Times New Roman"/>
                <w:kern w:val="0"/>
                <w:sz w:val="20"/>
                <w:szCs w:val="20"/>
                <w14:ligatures w14:val="none"/>
              </w:rPr>
            </w:pPr>
          </w:p>
        </w:tc>
      </w:tr>
    </w:tbl>
    <w:p w14:paraId="65F2E3A0"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kern w:val="0"/>
          <w:sz w:val="24"/>
          <w:szCs w:val="24"/>
          <w14:ligatures w14:val="none"/>
        </w:rPr>
        <w:br/>
      </w:r>
    </w:p>
    <w:p w14:paraId="3213505C" w14:textId="77777777" w:rsidR="008A4656" w:rsidRPr="008A4656" w:rsidRDefault="008A4656" w:rsidP="008A4656">
      <w:pPr>
        <w:numPr>
          <w:ilvl w:val="0"/>
          <w:numId w:val="5"/>
        </w:numPr>
        <w:spacing w:before="240" w:after="0" w:line="240" w:lineRule="auto"/>
        <w:jc w:val="both"/>
        <w:textAlignment w:val="baseline"/>
        <w:outlineLvl w:val="0"/>
        <w:rPr>
          <w:rFonts w:ascii="Times New Roman" w:eastAsia="Times New Roman" w:hAnsi="Times New Roman" w:cs="Times New Roman"/>
          <w:b/>
          <w:bCs/>
          <w:color w:val="000000"/>
          <w:kern w:val="36"/>
          <w:sz w:val="48"/>
          <w:szCs w:val="48"/>
          <w14:ligatures w14:val="none"/>
        </w:rPr>
      </w:pPr>
      <w:r w:rsidRPr="008A4656">
        <w:rPr>
          <w:rFonts w:ascii="Times New Roman" w:eastAsia="Times New Roman" w:hAnsi="Times New Roman" w:cs="Times New Roman"/>
          <w:b/>
          <w:bCs/>
          <w:color w:val="000000"/>
          <w:kern w:val="36"/>
          <w:sz w:val="28"/>
          <w:szCs w:val="28"/>
          <w14:ligatures w14:val="none"/>
        </w:rPr>
        <w:t>Findings and Discussion </w:t>
      </w:r>
    </w:p>
    <w:p w14:paraId="29FEAE18"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2A698BF0"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In this research, the purpose of the study was to investigate the impact of implementing talent management practices on sustainable employee performance. The results were intended to be used to acquire a better understanding of what relationship exists between implementing talent management practices on sustainable employee performance.</w:t>
      </w:r>
    </w:p>
    <w:p w14:paraId="2E2A3906"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lastRenderedPageBreak/>
        <w:t>The population of this study was executive-level employees at A company, B Company, C Company, and D company. The population consisted of 208 employees and 132 employees were selected as the sample by using a stratified random sampling method. The researcher used a questionnaire to gather primary data needed for the study and the questionnaire was developed referring to literature related to the subject and questionnaire developed by an earlier researcher. 120 questionnaires were distributed among executive employees who work at an A company, B Company, C Company, or D Company, and 105 completed questionnaires could be collected with a return rate of 87.75%.</w:t>
      </w:r>
    </w:p>
    <w:p w14:paraId="24DA75EB"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study utilized a quantitative method and it is cross – a sectional study. The questionnaire consisted of two sections (section I and section II) and the first section consisted of questions related to the demographic information of employees. Section II is related to talent management and sustainable employee performance.</w:t>
      </w:r>
    </w:p>
    <w:p w14:paraId="6BEA90EF"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To analyze the data gathered SPSS was used. To interpret the data analyzed and to obtain the result graphical charts, descriptive statistics, histograms, correlation and coefficient, and simple regression analysis were used. To present demographic information pie charts and bar charts were used. To test the relationship between variables correlation analysis was used. Simple regression analysis was used to identify the significance of the relationship (coefficient analysis) and the degree of the impact of the independent variable on the dependent variable was analyzed by using an adjusted R square value.</w:t>
      </w:r>
    </w:p>
    <w:p w14:paraId="20C7157D"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Pearson correlation between implementing talent management and sustainable employee performance is 0.446 which indicates there is a positive relationship between variables. As the R square value is 0.199 it has been identified that there is a positive impact of perceived implementing talent management on sustainable employee performance. Moreover, previous researchers also have identified that learning and development are directly and positively related and associated with sustainable employee performance (S et al., 2021; Singh et al., 2013; Dixit &amp; Arrawatia, 2018; Wickramaaratchi &amp; Perera, 2020; Abdullahi et al., 2022; Aina &amp; Atan, 2020c; Sopiah et al., 2020; Niu et al., 2021). Therefore, the current researcher’s findings are consistent with the previous research results.  </w:t>
      </w:r>
    </w:p>
    <w:p w14:paraId="10902F36"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The simple regression analysis describes that implementing talent management practices has a positive impact on sustainable employee performance. As indicated by the data</w:t>
      </w:r>
      <w:r w:rsidRPr="008A4656">
        <w:rPr>
          <w:rFonts w:ascii="Times New Roman" w:eastAsia="Times New Roman" w:hAnsi="Times New Roman" w:cs="Times New Roman"/>
          <w:b/>
          <w:bCs/>
          <w:color w:val="000000"/>
          <w:kern w:val="0"/>
          <w14:ligatures w14:val="none"/>
        </w:rPr>
        <w:t>, </w:t>
      </w:r>
      <w:r w:rsidRPr="008A4656">
        <w:rPr>
          <w:rFonts w:ascii="Times New Roman" w:eastAsia="Times New Roman" w:hAnsi="Times New Roman" w:cs="Times New Roman"/>
          <w:color w:val="0E101A"/>
          <w:kern w:val="0"/>
          <w14:ligatures w14:val="none"/>
        </w:rPr>
        <w:t>implementing</w:t>
      </w:r>
      <w:r w:rsidRPr="008A4656">
        <w:rPr>
          <w:rFonts w:ascii="Times New Roman" w:eastAsia="Times New Roman" w:hAnsi="Times New Roman" w:cs="Times New Roman"/>
          <w:color w:val="000000"/>
          <w:kern w:val="0"/>
          <w14:ligatures w14:val="none"/>
        </w:rPr>
        <w:t xml:space="preserve"> talent management practices at the A, B, C, and D companies. As well as sustainable employee performance (since the mean value of sustainable employee performance is 3.604). Hence, implementing the talent management practices of the companies studied has a positive impact on sustainable employee performance, which is a moderate relationship.</w:t>
      </w:r>
    </w:p>
    <w:p w14:paraId="066FD315"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This study showed an empirical significant relationship between implementing talent management practices and sustainable employee performance.</w:t>
      </w:r>
    </w:p>
    <w:p w14:paraId="0B018368" w14:textId="77777777" w:rsidR="008A4656" w:rsidRPr="008A4656" w:rsidRDefault="008A4656" w:rsidP="008A4656">
      <w:pPr>
        <w:numPr>
          <w:ilvl w:val="0"/>
          <w:numId w:val="6"/>
        </w:numPr>
        <w:spacing w:before="240" w:after="0" w:line="240" w:lineRule="auto"/>
        <w:jc w:val="both"/>
        <w:textAlignment w:val="baseline"/>
        <w:outlineLvl w:val="0"/>
        <w:rPr>
          <w:rFonts w:ascii="Times New Roman" w:eastAsia="Times New Roman" w:hAnsi="Times New Roman" w:cs="Times New Roman"/>
          <w:b/>
          <w:bCs/>
          <w:color w:val="000000"/>
          <w:kern w:val="36"/>
          <w:sz w:val="48"/>
          <w:szCs w:val="48"/>
          <w14:ligatures w14:val="none"/>
        </w:rPr>
      </w:pPr>
      <w:r w:rsidRPr="008A4656">
        <w:rPr>
          <w:rFonts w:ascii="Times New Roman" w:eastAsia="Times New Roman" w:hAnsi="Times New Roman" w:cs="Times New Roman"/>
          <w:b/>
          <w:bCs/>
          <w:color w:val="000000"/>
          <w:kern w:val="36"/>
          <w:sz w:val="28"/>
          <w:szCs w:val="28"/>
          <w14:ligatures w14:val="none"/>
        </w:rPr>
        <w:t>Conclusion</w:t>
      </w:r>
    </w:p>
    <w:p w14:paraId="541AD7CA" w14:textId="77777777" w:rsidR="008A4656" w:rsidRPr="008A4656" w:rsidRDefault="008A4656" w:rsidP="008A4656">
      <w:pPr>
        <w:spacing w:line="240" w:lineRule="auto"/>
        <w:ind w:firstLine="720"/>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Most businesses are aware of how crucial it is to have talent management strategies and processes in place if they want to increase performance and build a long-lasting competitive edge that will enable them to stand out in the market. Practices in talent management primarily concentrate on career management, learning and development, talent attraction, and talent retention. The purpose of this research was to study the impact of talent management practices (i.e., attraction, retention, learning and development, and career management) on sustainable employee performance in real estate companies in Sri Lanka. Given that the surveyed organizations were small- to medium-sized businesses with little understanding of attracting and retaining talent in terms of enhancing and sustaining employee performance, our findings showed that neither talent attraction nor talent retention practices had any effect on the dependent variable. In contrast, the study found that career management practices, which are regarded as a silent predictor, had a significant and positive impact on the long-term employee performance of real estate companies. It also highlighted the importance of raising qualifications, providing career </w:t>
      </w:r>
      <w:r w:rsidRPr="008A4656">
        <w:rPr>
          <w:rFonts w:ascii="Times New Roman" w:eastAsia="Times New Roman" w:hAnsi="Times New Roman" w:cs="Times New Roman"/>
          <w:color w:val="000000"/>
          <w:kern w:val="0"/>
          <w14:ligatures w14:val="none"/>
        </w:rPr>
        <w:lastRenderedPageBreak/>
        <w:t>coaching, identifying career goals, and identifying the limitations that prevent achieving those goals. furthermore, managers should focus on coaching and training programs, as well as work rotation experience, to leverage the performance of the employee regardless of the business size. The importance of learning and development methods is also not restricted to the size of the organization.</w:t>
      </w:r>
    </w:p>
    <w:p w14:paraId="24D54444"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kern w:val="0"/>
          <w:sz w:val="24"/>
          <w:szCs w:val="24"/>
          <w14:ligatures w14:val="none"/>
        </w:rPr>
        <w:br/>
      </w:r>
    </w:p>
    <w:p w14:paraId="24A89D0D" w14:textId="77777777" w:rsidR="008A4656" w:rsidRPr="008A4656" w:rsidRDefault="008A4656" w:rsidP="008A4656">
      <w:pPr>
        <w:numPr>
          <w:ilvl w:val="0"/>
          <w:numId w:val="7"/>
        </w:numPr>
        <w:spacing w:before="240" w:after="0" w:line="240" w:lineRule="auto"/>
        <w:jc w:val="both"/>
        <w:textAlignment w:val="baseline"/>
        <w:outlineLvl w:val="0"/>
        <w:rPr>
          <w:rFonts w:ascii="Times New Roman" w:eastAsia="Times New Roman" w:hAnsi="Times New Roman" w:cs="Times New Roman"/>
          <w:b/>
          <w:bCs/>
          <w:color w:val="000000"/>
          <w:kern w:val="36"/>
          <w:sz w:val="48"/>
          <w:szCs w:val="48"/>
          <w14:ligatures w14:val="none"/>
        </w:rPr>
      </w:pPr>
      <w:r w:rsidRPr="008A4656">
        <w:rPr>
          <w:rFonts w:ascii="Times New Roman" w:eastAsia="Times New Roman" w:hAnsi="Times New Roman" w:cs="Times New Roman"/>
          <w:b/>
          <w:bCs/>
          <w:color w:val="000000"/>
          <w:kern w:val="36"/>
          <w:sz w:val="28"/>
          <w:szCs w:val="28"/>
          <w14:ligatures w14:val="none"/>
        </w:rPr>
        <w:t>References</w:t>
      </w:r>
    </w:p>
    <w:p w14:paraId="739DC5F9" w14:textId="77777777" w:rsidR="008A4656" w:rsidRPr="008A4656" w:rsidRDefault="008A4656" w:rsidP="008A4656">
      <w:pPr>
        <w:spacing w:after="0" w:line="240" w:lineRule="auto"/>
        <w:rPr>
          <w:rFonts w:ascii="Times New Roman" w:eastAsia="Times New Roman" w:hAnsi="Times New Roman" w:cs="Times New Roman"/>
          <w:kern w:val="0"/>
          <w:sz w:val="24"/>
          <w:szCs w:val="24"/>
          <w14:ligatures w14:val="none"/>
        </w:rPr>
      </w:pPr>
    </w:p>
    <w:p w14:paraId="06C0E1E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FB7719">
        <w:rPr>
          <w:rFonts w:ascii="Times New Roman" w:eastAsia="Times New Roman" w:hAnsi="Times New Roman" w:cs="Times New Roman"/>
          <w:color w:val="000000"/>
          <w:kern w:val="0"/>
          <w:lang w:val="es-ES"/>
          <w14:ligatures w14:val="none"/>
        </w:rPr>
        <w:t xml:space="preserve">. S. H. al-H., . J. A. T., . A. N. A. A., . </w:t>
      </w:r>
      <w:r w:rsidRPr="008A4656">
        <w:rPr>
          <w:rFonts w:ascii="Times New Roman" w:eastAsia="Times New Roman" w:hAnsi="Times New Roman" w:cs="Times New Roman"/>
          <w:color w:val="000000"/>
          <w:kern w:val="0"/>
          <w14:ligatures w14:val="none"/>
        </w:rPr>
        <w:t xml:space="preserve">D. M. A. K., &amp; . M. A. (2019). Impact of Talent Management Strategies on Employee Performance Behaviour With the Mediating Role of Talent Management Outputs. </w:t>
      </w:r>
      <w:r w:rsidRPr="008A4656">
        <w:rPr>
          <w:rFonts w:ascii="Times New Roman" w:eastAsia="Times New Roman" w:hAnsi="Times New Roman" w:cs="Times New Roman"/>
          <w:i/>
          <w:iCs/>
          <w:color w:val="000000"/>
          <w:kern w:val="0"/>
          <w14:ligatures w14:val="none"/>
        </w:rPr>
        <w:t>Archives of Business Research</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7</w:t>
      </w:r>
      <w:r w:rsidRPr="008A4656">
        <w:rPr>
          <w:rFonts w:ascii="Times New Roman" w:eastAsia="Times New Roman" w:hAnsi="Times New Roman" w:cs="Times New Roman"/>
          <w:color w:val="000000"/>
          <w:kern w:val="0"/>
          <w14:ligatures w14:val="none"/>
        </w:rPr>
        <w:t>(3). https://doi.org/10.14738/abr.73.6309</w:t>
      </w:r>
    </w:p>
    <w:p w14:paraId="30A681D4"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Aina, R. Al, &amp; Atan, T. (2020a). The impact of implementing talent management practices on sustainable organizational performance. In </w:t>
      </w:r>
      <w:r w:rsidRPr="008A4656">
        <w:rPr>
          <w:rFonts w:ascii="Times New Roman" w:eastAsia="Times New Roman" w:hAnsi="Times New Roman" w:cs="Times New Roman"/>
          <w:i/>
          <w:iCs/>
          <w:color w:val="000000"/>
          <w:kern w:val="0"/>
          <w14:ligatures w14:val="none"/>
        </w:rPr>
        <w:t>Sustainability (Switzerland)</w:t>
      </w:r>
      <w:r w:rsidRPr="008A4656">
        <w:rPr>
          <w:rFonts w:ascii="Times New Roman" w:eastAsia="Times New Roman" w:hAnsi="Times New Roman" w:cs="Times New Roman"/>
          <w:color w:val="000000"/>
          <w:kern w:val="0"/>
          <w14:ligatures w14:val="none"/>
        </w:rPr>
        <w:t xml:space="preserve"> (Vol. 12, Issue 20). https://doi.org/10.3390/su12208372</w:t>
      </w:r>
    </w:p>
    <w:p w14:paraId="7ECF7CF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Aina, R. Al, &amp; Atan, T. (2020b). The impact of implementing talent management practices on sustainable organizational performance. </w:t>
      </w:r>
      <w:r w:rsidRPr="008A4656">
        <w:rPr>
          <w:rFonts w:ascii="Times New Roman" w:eastAsia="Times New Roman" w:hAnsi="Times New Roman" w:cs="Times New Roman"/>
          <w:i/>
          <w:iCs/>
          <w:color w:val="000000"/>
          <w:kern w:val="0"/>
          <w14:ligatures w14:val="none"/>
        </w:rPr>
        <w:t>Sustainability (Switzerland)</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12</w:t>
      </w:r>
      <w:r w:rsidRPr="008A4656">
        <w:rPr>
          <w:rFonts w:ascii="Times New Roman" w:eastAsia="Times New Roman" w:hAnsi="Times New Roman" w:cs="Times New Roman"/>
          <w:color w:val="000000"/>
          <w:kern w:val="0"/>
          <w14:ligatures w14:val="none"/>
        </w:rPr>
        <w:t>(20), 1–21. https://doi.org/10.3390/su12208372</w:t>
      </w:r>
    </w:p>
    <w:p w14:paraId="78FA704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Aina, R. Al, &amp; Atan, T. (2020c). The impact of implementing talent management practices on sustainable organizational performance. In </w:t>
      </w:r>
      <w:r w:rsidRPr="008A4656">
        <w:rPr>
          <w:rFonts w:ascii="Times New Roman" w:eastAsia="Times New Roman" w:hAnsi="Times New Roman" w:cs="Times New Roman"/>
          <w:i/>
          <w:iCs/>
          <w:color w:val="000000"/>
          <w:kern w:val="0"/>
          <w14:ligatures w14:val="none"/>
        </w:rPr>
        <w:t>Sustainability (Switzerland)</w:t>
      </w:r>
      <w:r w:rsidRPr="008A4656">
        <w:rPr>
          <w:rFonts w:ascii="Times New Roman" w:eastAsia="Times New Roman" w:hAnsi="Times New Roman" w:cs="Times New Roman"/>
          <w:color w:val="000000"/>
          <w:kern w:val="0"/>
          <w14:ligatures w14:val="none"/>
        </w:rPr>
        <w:t xml:space="preserve"> (Vol. 12, Issue 20, pp. 1–21). https://doi.org/10.3390/su12208372</w:t>
      </w:r>
    </w:p>
    <w:p w14:paraId="3AB2AF4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Barkhuizen, N., Mogwere, P., &amp; Schutte, N. (2014). Talent management, work engagement and service quality orientation of support staff in a higher education institution. </w:t>
      </w:r>
      <w:r w:rsidRPr="008A4656">
        <w:rPr>
          <w:rFonts w:ascii="Times New Roman" w:eastAsia="Times New Roman" w:hAnsi="Times New Roman" w:cs="Times New Roman"/>
          <w:i/>
          <w:iCs/>
          <w:color w:val="000000"/>
          <w:kern w:val="0"/>
          <w14:ligatures w14:val="none"/>
        </w:rPr>
        <w:t>Mediterranean Journal of Social Sciences</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5</w:t>
      </w:r>
      <w:r w:rsidRPr="008A4656">
        <w:rPr>
          <w:rFonts w:ascii="Times New Roman" w:eastAsia="Times New Roman" w:hAnsi="Times New Roman" w:cs="Times New Roman"/>
          <w:color w:val="000000"/>
          <w:kern w:val="0"/>
          <w14:ligatures w14:val="none"/>
        </w:rPr>
        <w:t>(4), 69–77. https://doi.org/10.5901/mjss.2014.v5n4p69</w:t>
      </w:r>
    </w:p>
    <w:p w14:paraId="73FA51D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Bhatnagar, J. (2007). Talent management strategy of employee engagement in Indian ITES employees: Key to retention. </w:t>
      </w:r>
      <w:r w:rsidRPr="008A4656">
        <w:rPr>
          <w:rFonts w:ascii="Times New Roman" w:eastAsia="Times New Roman" w:hAnsi="Times New Roman" w:cs="Times New Roman"/>
          <w:i/>
          <w:iCs/>
          <w:color w:val="000000"/>
          <w:kern w:val="0"/>
          <w14:ligatures w14:val="none"/>
        </w:rPr>
        <w:t>Employee Relations</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29</w:t>
      </w:r>
      <w:r w:rsidRPr="008A4656">
        <w:rPr>
          <w:rFonts w:ascii="Times New Roman" w:eastAsia="Times New Roman" w:hAnsi="Times New Roman" w:cs="Times New Roman"/>
          <w:color w:val="000000"/>
          <w:kern w:val="0"/>
          <w14:ligatures w14:val="none"/>
        </w:rPr>
        <w:t>(6), 640–663. https://doi.org/10.1108/01425450710826122</w:t>
      </w:r>
    </w:p>
    <w:p w14:paraId="652371C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Bhattacherjee, A. (2012). Social Science Research: principles, methods, and practices. In </w:t>
      </w:r>
      <w:r w:rsidRPr="008A4656">
        <w:rPr>
          <w:rFonts w:ascii="Times New Roman" w:eastAsia="Times New Roman" w:hAnsi="Times New Roman" w:cs="Times New Roman"/>
          <w:i/>
          <w:iCs/>
          <w:color w:val="000000"/>
          <w:kern w:val="0"/>
          <w14:ligatures w14:val="none"/>
        </w:rPr>
        <w:t>Book 3.</w:t>
      </w:r>
      <w:r w:rsidRPr="008A4656">
        <w:rPr>
          <w:rFonts w:ascii="Times New Roman" w:eastAsia="Times New Roman" w:hAnsi="Times New Roman" w:cs="Times New Roman"/>
          <w:color w:val="000000"/>
          <w:kern w:val="0"/>
          <w14:ligatures w14:val="none"/>
        </w:rPr>
        <w:t xml:space="preserve"> http://scholarcommons.usf.edu/cgi/viewcontent.cgi?article=1002&amp;context=oa_textbooks</w:t>
      </w:r>
    </w:p>
    <w:p w14:paraId="1BD11871"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Cappelli, P., &amp; Keller, J. R. (2014). Talent Management: Conceptual Approaches and Practical Challenges. </w:t>
      </w:r>
      <w:r w:rsidRPr="008A4656">
        <w:rPr>
          <w:rFonts w:ascii="Times New Roman" w:eastAsia="Times New Roman" w:hAnsi="Times New Roman" w:cs="Times New Roman"/>
          <w:i/>
          <w:iCs/>
          <w:color w:val="000000"/>
          <w:kern w:val="0"/>
          <w14:ligatures w14:val="none"/>
        </w:rPr>
        <w:t>Annual Review of Organizational Psychology and Organizational Behavior</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1</w:t>
      </w:r>
      <w:r w:rsidRPr="008A4656">
        <w:rPr>
          <w:rFonts w:ascii="Times New Roman" w:eastAsia="Times New Roman" w:hAnsi="Times New Roman" w:cs="Times New Roman"/>
          <w:color w:val="000000"/>
          <w:kern w:val="0"/>
          <w14:ligatures w14:val="none"/>
        </w:rPr>
        <w:t>(March 2014), 305–331. https://doi.org/10.1146/annurev-orgpsych-031413-091314</w:t>
      </w:r>
    </w:p>
    <w:p w14:paraId="3FA37A8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Chen, T., Hao, S., Ding, K., Feng, X., Li, G., &amp; Liang, X. (2020). The impact of organizational support on employee performance. </w:t>
      </w:r>
      <w:r w:rsidRPr="008A4656">
        <w:rPr>
          <w:rFonts w:ascii="Times New Roman" w:eastAsia="Times New Roman" w:hAnsi="Times New Roman" w:cs="Times New Roman"/>
          <w:i/>
          <w:iCs/>
          <w:color w:val="000000"/>
          <w:kern w:val="0"/>
          <w14:ligatures w14:val="none"/>
        </w:rPr>
        <w:t>Employee Relations</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42</w:t>
      </w:r>
      <w:r w:rsidRPr="008A4656">
        <w:rPr>
          <w:rFonts w:ascii="Times New Roman" w:eastAsia="Times New Roman" w:hAnsi="Times New Roman" w:cs="Times New Roman"/>
          <w:color w:val="000000"/>
          <w:kern w:val="0"/>
          <w14:ligatures w14:val="none"/>
        </w:rPr>
        <w:t>(1), 166–179. https://doi.org/10.1108/ER-01-2019-0079</w:t>
      </w:r>
    </w:p>
    <w:p w14:paraId="7DA0277D"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de Jonge, J., &amp; Peeters, M. C. W. (2019). The vital worker: Towards sustainable performance at work. </w:t>
      </w:r>
      <w:r w:rsidRPr="008A4656">
        <w:rPr>
          <w:rFonts w:ascii="Times New Roman" w:eastAsia="Times New Roman" w:hAnsi="Times New Roman" w:cs="Times New Roman"/>
          <w:i/>
          <w:iCs/>
          <w:color w:val="000000"/>
          <w:kern w:val="0"/>
          <w14:ligatures w14:val="none"/>
        </w:rPr>
        <w:t>International Journal of Environmental Research and Public Health</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16</w:t>
      </w:r>
      <w:r w:rsidRPr="008A4656">
        <w:rPr>
          <w:rFonts w:ascii="Times New Roman" w:eastAsia="Times New Roman" w:hAnsi="Times New Roman" w:cs="Times New Roman"/>
          <w:color w:val="000000"/>
          <w:kern w:val="0"/>
          <w14:ligatures w14:val="none"/>
        </w:rPr>
        <w:t>(6), 16–21. https://doi.org/10.3390/ijerph16060910</w:t>
      </w:r>
    </w:p>
    <w:p w14:paraId="0417EB3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Dixit, S., &amp; Arrawatia, M. (2018). The Impact of Talent Management on Job Satisfaction and Employee Performance in Public Sector Banks of Rajasthan. </w:t>
      </w:r>
      <w:r w:rsidRPr="008A4656">
        <w:rPr>
          <w:rFonts w:ascii="Times New Roman" w:eastAsia="Times New Roman" w:hAnsi="Times New Roman" w:cs="Times New Roman"/>
          <w:i/>
          <w:iCs/>
          <w:color w:val="000000"/>
          <w:kern w:val="0"/>
          <w14:ligatures w14:val="none"/>
        </w:rPr>
        <w:t xml:space="preserve">International Journal of Creative Research Thoughts </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6</w:t>
      </w:r>
      <w:r w:rsidRPr="008A4656">
        <w:rPr>
          <w:rFonts w:ascii="Times New Roman" w:eastAsia="Times New Roman" w:hAnsi="Times New Roman" w:cs="Times New Roman"/>
          <w:color w:val="000000"/>
          <w:kern w:val="0"/>
          <w14:ligatures w14:val="none"/>
        </w:rPr>
        <w:t>(1), 425–435. www.ijcrt.org</w:t>
      </w:r>
    </w:p>
    <w:p w14:paraId="24A63ED2"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Gordon, E. (2009). The Global Talent Crisis Contrary to popular opinion, there are plenty of open jobs. What’s missing are candidates with skills. </w:t>
      </w:r>
      <w:r w:rsidRPr="008A4656">
        <w:rPr>
          <w:rFonts w:ascii="Times New Roman" w:eastAsia="Times New Roman" w:hAnsi="Times New Roman" w:cs="Times New Roman"/>
          <w:i/>
          <w:iCs/>
          <w:color w:val="000000"/>
          <w:kern w:val="0"/>
          <w14:ligatures w14:val="none"/>
        </w:rPr>
        <w:t>The Futurist</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October</w:t>
      </w:r>
      <w:r w:rsidRPr="008A4656">
        <w:rPr>
          <w:rFonts w:ascii="Times New Roman" w:eastAsia="Times New Roman" w:hAnsi="Times New Roman" w:cs="Times New Roman"/>
          <w:color w:val="000000"/>
          <w:kern w:val="0"/>
          <w14:ligatures w14:val="none"/>
        </w:rPr>
        <w:t>. www.wfs.org</w:t>
      </w:r>
    </w:p>
    <w:p w14:paraId="18C4C27A"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lastRenderedPageBreak/>
        <w:t xml:space="preserve">Harun, N. H., Mahmood, N. H. N., &amp; Othman, S. A. (2019). The Effectiveness of Talent Management Practice among Teachers in Malaysia. </w:t>
      </w:r>
      <w:r w:rsidRPr="008A4656">
        <w:rPr>
          <w:rFonts w:ascii="Times New Roman" w:eastAsia="Times New Roman" w:hAnsi="Times New Roman" w:cs="Times New Roman"/>
          <w:i/>
          <w:iCs/>
          <w:color w:val="000000"/>
          <w:kern w:val="0"/>
          <w14:ligatures w14:val="none"/>
        </w:rPr>
        <w:t>International Journal of Academic Research in Business and Social Sciences</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9</w:t>
      </w:r>
      <w:r w:rsidRPr="008A4656">
        <w:rPr>
          <w:rFonts w:ascii="Times New Roman" w:eastAsia="Times New Roman" w:hAnsi="Times New Roman" w:cs="Times New Roman"/>
          <w:color w:val="000000"/>
          <w:kern w:val="0"/>
          <w14:ligatures w14:val="none"/>
        </w:rPr>
        <w:t>(6), 1104–1120. https://doi.org/10.6007/ijarbss/v9-i6/6072</w:t>
      </w:r>
    </w:p>
    <w:p w14:paraId="4F658109"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Kelloway, E. K., Weigand, H., Mckee, M. C., &amp; Das, H. (2013). Positive leadership and employee well-being. </w:t>
      </w:r>
      <w:r w:rsidRPr="008A4656">
        <w:rPr>
          <w:rFonts w:ascii="Times New Roman" w:eastAsia="Times New Roman" w:hAnsi="Times New Roman" w:cs="Times New Roman"/>
          <w:i/>
          <w:iCs/>
          <w:color w:val="000000"/>
          <w:kern w:val="0"/>
          <w14:ligatures w14:val="none"/>
        </w:rPr>
        <w:t>Journal of Leadership and Organizational Studies</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20</w:t>
      </w:r>
      <w:r w:rsidRPr="008A4656">
        <w:rPr>
          <w:rFonts w:ascii="Times New Roman" w:eastAsia="Times New Roman" w:hAnsi="Times New Roman" w:cs="Times New Roman"/>
          <w:color w:val="000000"/>
          <w:kern w:val="0"/>
          <w14:ligatures w14:val="none"/>
        </w:rPr>
        <w:t>(1), 107–117. https://doi.org/10.1177/1548051812465892</w:t>
      </w:r>
    </w:p>
    <w:p w14:paraId="04141163"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Kontoghiorghes, C. (2016). Linking high performance organizational culture and talent management: satisfaction/motivation and organizational commitment as mediators. </w:t>
      </w:r>
      <w:r w:rsidRPr="008A4656">
        <w:rPr>
          <w:rFonts w:ascii="Times New Roman" w:eastAsia="Times New Roman" w:hAnsi="Times New Roman" w:cs="Times New Roman"/>
          <w:i/>
          <w:iCs/>
          <w:color w:val="000000"/>
          <w:kern w:val="0"/>
          <w14:ligatures w14:val="none"/>
        </w:rPr>
        <w:t>International Journal of Human Resource Management</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27</w:t>
      </w:r>
      <w:r w:rsidRPr="008A4656">
        <w:rPr>
          <w:rFonts w:ascii="Times New Roman" w:eastAsia="Times New Roman" w:hAnsi="Times New Roman" w:cs="Times New Roman"/>
          <w:color w:val="000000"/>
          <w:kern w:val="0"/>
          <w14:ligatures w14:val="none"/>
        </w:rPr>
        <w:t>(16), 1833–1853. https://doi.org/10.1080/09585192.2015.1075572</w:t>
      </w:r>
    </w:p>
    <w:p w14:paraId="10EBB1A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Lyria, R. K. (2014). Effect of Talent Management on Organizational Performance in Companies Listed in Nairobi Securities Exchange in Kenya. </w:t>
      </w:r>
      <w:r w:rsidRPr="008A4656">
        <w:rPr>
          <w:rFonts w:ascii="Times New Roman" w:eastAsia="Times New Roman" w:hAnsi="Times New Roman" w:cs="Times New Roman"/>
          <w:i/>
          <w:iCs/>
          <w:color w:val="000000"/>
          <w:kern w:val="0"/>
          <w14:ligatures w14:val="none"/>
        </w:rPr>
        <w:t>International Journal of Business, Humanities and Technology</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2</w:t>
      </w:r>
      <w:r w:rsidRPr="008A4656">
        <w:rPr>
          <w:rFonts w:ascii="Times New Roman" w:eastAsia="Times New Roman" w:hAnsi="Times New Roman" w:cs="Times New Roman"/>
          <w:color w:val="000000"/>
          <w:kern w:val="0"/>
          <w14:ligatures w14:val="none"/>
        </w:rPr>
        <w:t>(3), 65–70.</w:t>
      </w:r>
    </w:p>
    <w:p w14:paraId="3D0AE700"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Niu, Z., Jussibaliyeva, A., Sarfraz, H., Duisenbayeva, B., Ramirez-Asís, E., &amp; Pelaez-Diaz, G. (2021). The impact of talent management on performance: moderating effect of career management. </w:t>
      </w:r>
      <w:r w:rsidRPr="008A4656">
        <w:rPr>
          <w:rFonts w:ascii="Times New Roman" w:eastAsia="Times New Roman" w:hAnsi="Times New Roman" w:cs="Times New Roman"/>
          <w:i/>
          <w:iCs/>
          <w:color w:val="000000"/>
          <w:kern w:val="0"/>
          <w14:ligatures w14:val="none"/>
        </w:rPr>
        <w:t>Indian Journal of Economics and Business</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20</w:t>
      </w:r>
      <w:r w:rsidRPr="008A4656">
        <w:rPr>
          <w:rFonts w:ascii="Times New Roman" w:eastAsia="Times New Roman" w:hAnsi="Times New Roman" w:cs="Times New Roman"/>
          <w:color w:val="000000"/>
          <w:kern w:val="0"/>
          <w14:ligatures w14:val="none"/>
        </w:rPr>
        <w:t>(2), 371–387.</w:t>
      </w:r>
    </w:p>
    <w:p w14:paraId="664CBF98"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Rasool, S. F., Wang, M., Zhang, Y., &amp; Samma, M. (2020). Sustainable work performance: the roles of workplace violence and occupational stress. </w:t>
      </w:r>
      <w:r w:rsidRPr="008A4656">
        <w:rPr>
          <w:rFonts w:ascii="Times New Roman" w:eastAsia="Times New Roman" w:hAnsi="Times New Roman" w:cs="Times New Roman"/>
          <w:i/>
          <w:iCs/>
          <w:color w:val="000000"/>
          <w:kern w:val="0"/>
          <w14:ligatures w14:val="none"/>
        </w:rPr>
        <w:t>International Journal of Environmental Research and Public Health</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17</w:t>
      </w:r>
      <w:r w:rsidRPr="008A4656">
        <w:rPr>
          <w:rFonts w:ascii="Times New Roman" w:eastAsia="Times New Roman" w:hAnsi="Times New Roman" w:cs="Times New Roman"/>
          <w:color w:val="000000"/>
          <w:kern w:val="0"/>
          <w14:ligatures w14:val="none"/>
        </w:rPr>
        <w:t>(3). https://doi.org/10.3390/ijerph17030912</w:t>
      </w:r>
    </w:p>
    <w:p w14:paraId="295F06D5"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S, M., M, R. K., &amp; P, S. (2021). Talent management practices and sustainable organizational performance in cement industry. </w:t>
      </w:r>
      <w:r w:rsidRPr="008A4656">
        <w:rPr>
          <w:rFonts w:ascii="Times New Roman" w:eastAsia="Times New Roman" w:hAnsi="Times New Roman" w:cs="Times New Roman"/>
          <w:i/>
          <w:iCs/>
          <w:color w:val="000000"/>
          <w:kern w:val="0"/>
          <w14:ligatures w14:val="none"/>
        </w:rPr>
        <w:t>Journal of Management and Science</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11</w:t>
      </w:r>
      <w:r w:rsidRPr="008A4656">
        <w:rPr>
          <w:rFonts w:ascii="Times New Roman" w:eastAsia="Times New Roman" w:hAnsi="Times New Roman" w:cs="Times New Roman"/>
          <w:color w:val="000000"/>
          <w:kern w:val="0"/>
          <w14:ligatures w14:val="none"/>
        </w:rPr>
        <w:t>(3), 48–54. https://doi.org/10.26524/jms.11.24</w:t>
      </w:r>
    </w:p>
    <w:p w14:paraId="3D95E056" w14:textId="77777777" w:rsidR="008A4656" w:rsidRPr="008A4656" w:rsidRDefault="008A4656" w:rsidP="008A4656">
      <w:pPr>
        <w:spacing w:line="240" w:lineRule="auto"/>
        <w:jc w:val="both"/>
        <w:rPr>
          <w:rFonts w:ascii="Times New Roman" w:eastAsia="Times New Roman" w:hAnsi="Times New Roman" w:cs="Times New Roman"/>
          <w:kern w:val="0"/>
          <w:sz w:val="24"/>
          <w:szCs w:val="24"/>
          <w14:ligatures w14:val="none"/>
        </w:rPr>
      </w:pPr>
      <w:r w:rsidRPr="008A4656">
        <w:rPr>
          <w:rFonts w:ascii="Times New Roman" w:eastAsia="Times New Roman" w:hAnsi="Times New Roman" w:cs="Times New Roman"/>
          <w:color w:val="000000"/>
          <w:kern w:val="0"/>
          <w14:ligatures w14:val="none"/>
        </w:rPr>
        <w:t xml:space="preserve">Sopiah, S., Kurniawan, D. T., Nora, E., &amp; Narmaditya, B. S. (2020). Does talent management affect employee performance?: The moderating role of work engagement. </w:t>
      </w:r>
      <w:r w:rsidRPr="008A4656">
        <w:rPr>
          <w:rFonts w:ascii="Times New Roman" w:eastAsia="Times New Roman" w:hAnsi="Times New Roman" w:cs="Times New Roman"/>
          <w:i/>
          <w:iCs/>
          <w:color w:val="000000"/>
          <w:kern w:val="0"/>
          <w14:ligatures w14:val="none"/>
        </w:rPr>
        <w:t>Journal of Asian Finance, Economics and Business</w:t>
      </w:r>
      <w:r w:rsidRPr="008A4656">
        <w:rPr>
          <w:rFonts w:ascii="Times New Roman" w:eastAsia="Times New Roman" w:hAnsi="Times New Roman" w:cs="Times New Roman"/>
          <w:color w:val="000000"/>
          <w:kern w:val="0"/>
          <w14:ligatures w14:val="none"/>
        </w:rPr>
        <w:t xml:space="preserve">, </w:t>
      </w:r>
      <w:r w:rsidRPr="008A4656">
        <w:rPr>
          <w:rFonts w:ascii="Times New Roman" w:eastAsia="Times New Roman" w:hAnsi="Times New Roman" w:cs="Times New Roman"/>
          <w:i/>
          <w:iCs/>
          <w:color w:val="000000"/>
          <w:kern w:val="0"/>
          <w14:ligatures w14:val="none"/>
        </w:rPr>
        <w:t>7</w:t>
      </w:r>
      <w:r w:rsidRPr="008A4656">
        <w:rPr>
          <w:rFonts w:ascii="Times New Roman" w:eastAsia="Times New Roman" w:hAnsi="Times New Roman" w:cs="Times New Roman"/>
          <w:color w:val="000000"/>
          <w:kern w:val="0"/>
          <w14:ligatures w14:val="none"/>
        </w:rPr>
        <w:t>(7), 335–341. https://doi.org/10.13106/jafeb.2020.vol7.no7.335</w:t>
      </w:r>
    </w:p>
    <w:p w14:paraId="57847DC2" w14:textId="39CC1D9B" w:rsidR="008A4656" w:rsidRDefault="008A4656" w:rsidP="008A4656">
      <w:r w:rsidRPr="008A4656">
        <w:rPr>
          <w:rFonts w:ascii="Times New Roman" w:eastAsia="Times New Roman" w:hAnsi="Times New Roman" w:cs="Times New Roman"/>
          <w:kern w:val="0"/>
          <w:sz w:val="24"/>
          <w:szCs w:val="24"/>
          <w14:ligatures w14:val="none"/>
        </w:rPr>
        <w:br/>
      </w:r>
      <w:r w:rsidRPr="008A4656">
        <w:rPr>
          <w:rFonts w:ascii="Times New Roman" w:eastAsia="Times New Roman" w:hAnsi="Times New Roman" w:cs="Times New Roman"/>
          <w:kern w:val="0"/>
          <w:sz w:val="24"/>
          <w:szCs w:val="24"/>
          <w14:ligatures w14:val="none"/>
        </w:rPr>
        <w:br/>
      </w:r>
    </w:p>
    <w:sectPr w:rsidR="008A465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53EDA"/>
    <w:multiLevelType w:val="multilevel"/>
    <w:tmpl w:val="F9A8642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5B1236B"/>
    <w:multiLevelType w:val="multilevel"/>
    <w:tmpl w:val="03C298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D4705E3"/>
    <w:multiLevelType w:val="multilevel"/>
    <w:tmpl w:val="EB4455D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21E0EE9"/>
    <w:multiLevelType w:val="multilevel"/>
    <w:tmpl w:val="53CC0A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6B777F6"/>
    <w:multiLevelType w:val="multilevel"/>
    <w:tmpl w:val="B9B85F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C17312B"/>
    <w:multiLevelType w:val="multilevel"/>
    <w:tmpl w:val="159456F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74374963">
    <w:abstractNumId w:val="3"/>
  </w:num>
  <w:num w:numId="2" w16cid:durableId="800266376">
    <w:abstractNumId w:val="4"/>
  </w:num>
  <w:num w:numId="3" w16cid:durableId="1528372428">
    <w:abstractNumId w:val="5"/>
  </w:num>
  <w:num w:numId="4" w16cid:durableId="158348224">
    <w:abstractNumId w:val="5"/>
    <w:lvlOverride w:ilvl="0">
      <w:lvl w:ilvl="0">
        <w:numFmt w:val="decimal"/>
        <w:lvlText w:val="%1."/>
        <w:lvlJc w:val="left"/>
      </w:lvl>
    </w:lvlOverride>
  </w:num>
  <w:num w:numId="5" w16cid:durableId="892930931">
    <w:abstractNumId w:val="1"/>
    <w:lvlOverride w:ilvl="0">
      <w:lvl w:ilvl="0">
        <w:numFmt w:val="decimal"/>
        <w:lvlText w:val="%1."/>
        <w:lvlJc w:val="left"/>
      </w:lvl>
    </w:lvlOverride>
  </w:num>
  <w:num w:numId="6" w16cid:durableId="2086604258">
    <w:abstractNumId w:val="2"/>
    <w:lvlOverride w:ilvl="0">
      <w:lvl w:ilvl="0">
        <w:numFmt w:val="decimal"/>
        <w:lvlText w:val="%1."/>
        <w:lvlJc w:val="left"/>
      </w:lvl>
    </w:lvlOverride>
  </w:num>
  <w:num w:numId="7" w16cid:durableId="990711906">
    <w:abstractNumId w:val="0"/>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656"/>
    <w:rsid w:val="008A4656"/>
    <w:rsid w:val="00FB7719"/>
  </w:rsids>
  <m:mathPr>
    <m:mathFont m:val="Cambria Math"/>
    <m:brkBin m:val="before"/>
    <m:brkBinSub m:val="--"/>
    <m:smallFrac m:val="0"/>
    <m:dispDef/>
    <m:lMargin m:val="0"/>
    <m:rMargin m:val="0"/>
    <m:defJc m:val="centerGroup"/>
    <m:wrapIndent m:val="1440"/>
    <m:intLim m:val="subSup"/>
    <m:naryLim m:val="undOvr"/>
  </m:mathPr>
  <w:themeFontLang w:val="en-US" w:eastAsia="zh-CN" w:bidi="gu-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4FDEA4"/>
  <w15:chartTrackingRefBased/>
  <w15:docId w15:val="{23BE83A5-75D5-4592-BE53-2AB214CF3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gu-IN"/>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A4656"/>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8A4656"/>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8A4656"/>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4656"/>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8A4656"/>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8A4656"/>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8A4656"/>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apple-tab-span">
    <w:name w:val="apple-tab-span"/>
    <w:basedOn w:val="DefaultParagraphFont"/>
    <w:rsid w:val="008A46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0249799">
      <w:bodyDiv w:val="1"/>
      <w:marLeft w:val="0"/>
      <w:marRight w:val="0"/>
      <w:marTop w:val="0"/>
      <w:marBottom w:val="0"/>
      <w:divBdr>
        <w:top w:val="none" w:sz="0" w:space="0" w:color="auto"/>
        <w:left w:val="none" w:sz="0" w:space="0" w:color="auto"/>
        <w:bottom w:val="none" w:sz="0" w:space="0" w:color="auto"/>
        <w:right w:val="none" w:sz="0" w:space="0" w:color="auto"/>
      </w:divBdr>
      <w:divsChild>
        <w:div w:id="360715215">
          <w:marLeft w:val="-10"/>
          <w:marRight w:val="0"/>
          <w:marTop w:val="0"/>
          <w:marBottom w:val="0"/>
          <w:divBdr>
            <w:top w:val="none" w:sz="0" w:space="0" w:color="auto"/>
            <w:left w:val="none" w:sz="0" w:space="0" w:color="auto"/>
            <w:bottom w:val="none" w:sz="0" w:space="0" w:color="auto"/>
            <w:right w:val="none" w:sz="0" w:space="0" w:color="auto"/>
          </w:divBdr>
        </w:div>
        <w:div w:id="354422754">
          <w:marLeft w:val="90"/>
          <w:marRight w:val="0"/>
          <w:marTop w:val="0"/>
          <w:marBottom w:val="0"/>
          <w:divBdr>
            <w:top w:val="none" w:sz="0" w:space="0" w:color="auto"/>
            <w:left w:val="none" w:sz="0" w:space="0" w:color="auto"/>
            <w:bottom w:val="none" w:sz="0" w:space="0" w:color="auto"/>
            <w:right w:val="none" w:sz="0" w:space="0" w:color="auto"/>
          </w:divBdr>
        </w:div>
        <w:div w:id="517427687">
          <w:marLeft w:val="-1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6472</Words>
  <Characters>38770</Characters>
  <Application>Microsoft Office Word</Application>
  <DocSecurity>0</DocSecurity>
  <Lines>994</Lines>
  <Paragraphs>396</Paragraphs>
  <ScaleCrop>false</ScaleCrop>
  <Company/>
  <LinksUpToDate>false</LinksUpToDate>
  <CharactersWithSpaces>44846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Ms.Madhavi Gunasekara</dc:creator>
  <cp:keywords/>
  <dc:description/>
  <cp:lastModifiedBy>Subhashini Weerakkody</cp:lastModifiedBy>
  <cp:revision>2</cp:revision>
  <dcterms:created xsi:type="dcterms:W3CDTF">2024-02-20T04:45:00Z</dcterms:created>
  <dcterms:modified xsi:type="dcterms:W3CDTF">2024-03-19T11:26:00Z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56cc6810-796e-4249-90c7-8bff35447a82</vt:lpwstr>
  </property>
</Properties>
</file>