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160" w:line="360" w:lineRule="auto"/>
        <w:jc w:val="center"/>
        <w:rPr>
          <w:rFonts w:cs="Times New Roman"/>
          <w:b/>
          <w:bCs/>
          <w:sz w:val="28"/>
          <w:szCs w:val="28"/>
        </w:rPr>
      </w:pPr>
      <w:bookmarkStart w:id="0" w:name="_Hlk143084183"/>
      <w:r>
        <w:rPr>
          <w:rFonts w:cs="Times New Roman"/>
          <w:b/>
          <w:bCs/>
          <w:sz w:val="28"/>
          <w:szCs w:val="28"/>
        </w:rPr>
        <w:t xml:space="preserve">Effect of Micro Finance Services on Growth of Micro Small and Medium Scale Enterprises (MSMEs) in Service Sector Operating </w:t>
      </w:r>
      <w:bookmarkStart w:id="97" w:name="_GoBack"/>
      <w:r>
        <w:rPr>
          <w:rFonts w:cs="Times New Roman"/>
          <w:b/>
          <w:bCs/>
          <w:sz w:val="28"/>
          <w:szCs w:val="28"/>
        </w:rPr>
        <w:t>in Colombo District</w:t>
      </w: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Times New Roman" w:hAnsi="Times New Roman" w:cs="Times New Roman"/>
        </w:rPr>
      </w:pPr>
      <w:r>
        <w:rPr>
          <w:rFonts w:hint="default" w:ascii="Times New Roman" w:hAnsi="Times New Roman" w:eastAsia="Helvetica" w:cs="Times New Roman"/>
          <w:b/>
          <w:bCs/>
          <w:i w:val="0"/>
          <w:iCs w:val="0"/>
          <w:caps w:val="0"/>
          <w:color w:val="282828"/>
          <w:spacing w:val="0"/>
          <w:sz w:val="19"/>
          <w:szCs w:val="19"/>
          <w:bdr w:val="none" w:color="auto" w:sz="0" w:space="0"/>
          <w:shd w:val="clear" w:fill="FFFFFF"/>
        </w:rPr>
        <w:t>Sanduni Liyanage</w:t>
      </w:r>
      <w:r>
        <w:rPr>
          <w:rFonts w:hint="default" w:ascii="Times New Roman" w:hAnsi="Times New Roman" w:eastAsia="Helvetica" w:cs="Times New Roman"/>
          <w:b/>
          <w:bCs/>
          <w:i w:val="0"/>
          <w:iCs w:val="0"/>
          <w:caps w:val="0"/>
          <w:color w:val="282828"/>
          <w:spacing w:val="0"/>
          <w:sz w:val="19"/>
          <w:szCs w:val="19"/>
          <w:bdr w:val="none" w:color="auto" w:sz="0" w:space="0"/>
          <w:shd w:val="clear" w:fill="FFFFFF"/>
          <w:vertAlign w:val="superscript"/>
          <w:lang w:val="en-GB"/>
        </w:rPr>
        <w:t>1</w:t>
      </w:r>
      <w:r>
        <w:rPr>
          <w:rFonts w:hint="default" w:ascii="Times New Roman" w:hAnsi="Times New Roman" w:eastAsia="Helvetica" w:cs="Times New Roman"/>
          <w:b/>
          <w:bCs/>
          <w:i w:val="0"/>
          <w:iCs w:val="0"/>
          <w:caps w:val="0"/>
          <w:color w:val="282828"/>
          <w:spacing w:val="0"/>
          <w:sz w:val="19"/>
          <w:szCs w:val="19"/>
          <w:bdr w:val="none" w:color="auto" w:sz="0" w:space="0"/>
          <w:shd w:val="clear" w:fill="FFFFFF"/>
          <w:lang w:val="en-GB"/>
        </w:rPr>
        <w:t xml:space="preserve"> and </w:t>
      </w:r>
      <w:r>
        <w:rPr>
          <w:rFonts w:hint="default" w:ascii="Times New Roman" w:hAnsi="Times New Roman" w:eastAsia="Helvetica" w:cs="Times New Roman"/>
          <w:i w:val="0"/>
          <w:iCs w:val="0"/>
          <w:caps w:val="0"/>
          <w:color w:val="282828"/>
          <w:spacing w:val="0"/>
          <w:sz w:val="19"/>
          <w:szCs w:val="19"/>
          <w:bdr w:val="none" w:color="auto" w:sz="0" w:space="0"/>
          <w:shd w:val="clear" w:fill="FFFFFF"/>
        </w:rPr>
        <w:t> </w:t>
      </w:r>
      <w:r>
        <w:rPr>
          <w:rFonts w:hint="default" w:eastAsia="Helvetica" w:cs="Times New Roman"/>
          <w:i w:val="0"/>
          <w:iCs w:val="0"/>
          <w:caps w:val="0"/>
          <w:color w:val="282828"/>
          <w:spacing w:val="0"/>
          <w:sz w:val="19"/>
          <w:szCs w:val="19"/>
          <w:bdr w:val="none" w:color="auto" w:sz="0" w:space="0"/>
          <w:shd w:val="clear" w:fill="FFFFFF"/>
          <w:lang w:val="en-GB"/>
        </w:rPr>
        <w:t>C</w:t>
      </w:r>
      <w:r>
        <w:rPr>
          <w:rFonts w:hint="default" w:ascii="Times New Roman" w:hAnsi="Times New Roman" w:eastAsia="Helvetica" w:cs="Times New Roman"/>
          <w:i w:val="0"/>
          <w:iCs w:val="0"/>
          <w:caps w:val="0"/>
          <w:color w:val="282828"/>
          <w:spacing w:val="0"/>
          <w:sz w:val="19"/>
          <w:szCs w:val="19"/>
          <w:bdr w:val="none" w:color="auto" w:sz="0" w:space="0"/>
          <w:shd w:val="clear" w:fill="FFFFFF"/>
        </w:rPr>
        <w:t>hatura Liyanage</w:t>
      </w:r>
      <w:r>
        <w:rPr>
          <w:rFonts w:hint="default" w:ascii="Times New Roman" w:hAnsi="Times New Roman" w:eastAsia="Helvetica" w:cs="Times New Roman"/>
          <w:i w:val="0"/>
          <w:iCs w:val="0"/>
          <w:caps w:val="0"/>
          <w:color w:val="282828"/>
          <w:spacing w:val="0"/>
          <w:sz w:val="19"/>
          <w:szCs w:val="19"/>
          <w:bdr w:val="none" w:color="auto" w:sz="0" w:space="0"/>
          <w:shd w:val="clear" w:fill="FFFFFF"/>
          <w:vertAlign w:val="superscript"/>
          <w:lang w:val="en-GB"/>
        </w:rPr>
        <w:t>2</w:t>
      </w: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Times New Roman" w:hAnsi="Times New Roman" w:cs="Times New Roman"/>
        </w:rPr>
      </w:pPr>
      <w:r>
        <w:rPr>
          <w:rFonts w:hint="default" w:ascii="Times New Roman" w:hAnsi="Times New Roman" w:eastAsia="Helvetica" w:cs="Times New Roman"/>
          <w:i w:val="0"/>
          <w:iCs w:val="0"/>
          <w:caps w:val="0"/>
          <w:color w:val="282828"/>
          <w:spacing w:val="0"/>
          <w:sz w:val="19"/>
          <w:szCs w:val="19"/>
          <w:shd w:val="clear" w:fill="FFFFFF"/>
          <w:vertAlign w:val="superscript"/>
          <w:lang w:val="en-GB"/>
        </w:rPr>
        <w:t>1</w:t>
      </w:r>
      <w:r>
        <w:rPr>
          <w:rFonts w:hint="default" w:ascii="Times New Roman" w:hAnsi="Times New Roman" w:eastAsia="Helvetica" w:cs="Times New Roman"/>
          <w:i w:val="0"/>
          <w:iCs w:val="0"/>
          <w:caps w:val="0"/>
          <w:color w:val="282828"/>
          <w:spacing w:val="0"/>
          <w:sz w:val="19"/>
          <w:szCs w:val="19"/>
          <w:shd w:val="clear" w:fill="FFFFFF"/>
        </w:rPr>
        <w:t>University of kelaniya</w:t>
      </w:r>
      <w:r>
        <w:rPr>
          <w:rFonts w:hint="default" w:ascii="Times New Roman" w:hAnsi="Times New Roman" w:eastAsia="Helvetica" w:cs="Times New Roman"/>
          <w:i w:val="0"/>
          <w:iCs w:val="0"/>
          <w:caps w:val="0"/>
          <w:color w:val="282828"/>
          <w:spacing w:val="0"/>
          <w:sz w:val="19"/>
          <w:szCs w:val="19"/>
          <w:shd w:val="clear" w:fill="FFFFFF"/>
          <w:lang w:val="en-GB"/>
        </w:rPr>
        <w:t>,</w:t>
      </w:r>
      <w:r>
        <w:rPr>
          <w:rFonts w:hint="default" w:ascii="Times New Roman" w:hAnsi="Times New Roman" w:eastAsia="Helvetica" w:cs="Times New Roman"/>
          <w:i w:val="0"/>
          <w:iCs w:val="0"/>
          <w:caps w:val="0"/>
          <w:color w:val="282828"/>
          <w:spacing w:val="0"/>
          <w:sz w:val="19"/>
          <w:szCs w:val="19"/>
          <w:shd w:val="clear" w:fill="FFFFFF"/>
        </w:rPr>
        <w:t>sanduniliyanage822@gmail.com</w:t>
      </w: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cs="Times New Roman" w:eastAsiaTheme="majorEastAsia"/>
          <w:b/>
          <w:sz w:val="28"/>
          <w:szCs w:val="28"/>
        </w:rPr>
      </w:pPr>
      <w:r>
        <w:rPr>
          <w:rFonts w:hint="default" w:ascii="Times New Roman" w:hAnsi="Times New Roman" w:eastAsia="Helvetica" w:cs="Times New Roman"/>
          <w:i w:val="0"/>
          <w:iCs w:val="0"/>
          <w:caps w:val="0"/>
          <w:color w:val="282828"/>
          <w:spacing w:val="0"/>
          <w:sz w:val="19"/>
          <w:szCs w:val="19"/>
          <w:bdr w:val="none" w:color="auto" w:sz="0" w:space="0"/>
          <w:shd w:val="clear" w:fill="FFFFFF"/>
          <w:vertAlign w:val="superscript"/>
          <w:lang w:val="en-GB"/>
        </w:rPr>
        <w:t>2</w:t>
      </w:r>
      <w:r>
        <w:rPr>
          <w:rFonts w:hint="default" w:ascii="Times New Roman" w:hAnsi="Times New Roman" w:eastAsia="Helvetica" w:cs="Times New Roman"/>
          <w:i w:val="0"/>
          <w:iCs w:val="0"/>
          <w:caps w:val="0"/>
          <w:color w:val="282828"/>
          <w:spacing w:val="0"/>
          <w:sz w:val="19"/>
          <w:szCs w:val="19"/>
          <w:bdr w:val="none" w:color="auto" w:sz="0" w:space="0"/>
          <w:shd w:val="clear" w:fill="FFFFFF"/>
        </w:rPr>
        <w:t>University of Kelaniy</w:t>
      </w:r>
      <w:r>
        <w:rPr>
          <w:rFonts w:hint="default" w:ascii="Times New Roman" w:hAnsi="Times New Roman" w:eastAsia="Helvetica" w:cs="Times New Roman"/>
          <w:i w:val="0"/>
          <w:iCs w:val="0"/>
          <w:caps w:val="0"/>
          <w:color w:val="282828"/>
          <w:spacing w:val="0"/>
          <w:sz w:val="19"/>
          <w:szCs w:val="19"/>
          <w:bdr w:val="none" w:color="auto" w:sz="0" w:space="0"/>
          <w:shd w:val="clear" w:fill="FFFFFF"/>
          <w:lang w:val="en-GB"/>
        </w:rPr>
        <w:t xml:space="preserve">a, </w:t>
      </w:r>
      <w:r>
        <w:rPr>
          <w:rFonts w:hint="default" w:ascii="Times New Roman" w:hAnsi="Times New Roman" w:eastAsia="Helvetica" w:cs="Times New Roman"/>
          <w:i w:val="0"/>
          <w:iCs w:val="0"/>
          <w:caps w:val="0"/>
          <w:color w:val="282828"/>
          <w:spacing w:val="0"/>
          <w:sz w:val="19"/>
          <w:szCs w:val="19"/>
          <w:bdr w:val="none" w:color="auto" w:sz="0" w:space="0"/>
          <w:shd w:val="clear" w:fill="FFFFFF"/>
        </w:rPr>
        <w:t>chaturaj@kln.ac.lk</w:t>
      </w:r>
      <w:bookmarkEnd w:id="0"/>
      <w:bookmarkStart w:id="1" w:name="_Toc141558974"/>
      <w:bookmarkStart w:id="2" w:name="_Toc14546_WPSOffice_Level1"/>
    </w:p>
    <w:bookmarkEnd w:id="97"/>
    <w:p>
      <w:pPr>
        <w:pStyle w:val="2"/>
        <w:numPr>
          <w:ilvl w:val="0"/>
          <w:numId w:val="0"/>
        </w:numPr>
        <w:spacing w:line="360" w:lineRule="auto"/>
        <w:rPr>
          <w:rFonts w:cs="Times New Roman"/>
          <w:sz w:val="28"/>
          <w:szCs w:val="28"/>
        </w:rPr>
      </w:pPr>
      <w:r>
        <w:rPr>
          <w:rFonts w:cs="Times New Roman"/>
          <w:sz w:val="28"/>
          <w:szCs w:val="28"/>
        </w:rPr>
        <w:t>Introduction</w:t>
      </w:r>
      <w:bookmarkEnd w:id="1"/>
      <w:bookmarkEnd w:id="2"/>
    </w:p>
    <w:p>
      <w:pPr>
        <w:spacing w:line="360" w:lineRule="auto"/>
        <w:rPr>
          <w:rFonts w:cs="Times New Roman"/>
        </w:rPr>
      </w:pPr>
    </w:p>
    <w:p>
      <w:pPr>
        <w:spacing w:after="160" w:line="360" w:lineRule="auto"/>
        <w:jc w:val="both"/>
        <w:rPr>
          <w:rFonts w:cs="Times New Roman"/>
          <w:szCs w:val="24"/>
        </w:rPr>
      </w:pPr>
      <w:r>
        <w:rPr>
          <w:rFonts w:cs="Times New Roman"/>
          <w:szCs w:val="24"/>
        </w:rPr>
        <w:t xml:space="preserve">The Micro, Small and Medium Enterprises (MSMEs) has been highlighted as a key strategic sector in Sri Lanka, serving as a catalyst for inclusive economic growth, regional development, job creation, and poverty reduction. Micro-finance is defined as a development tool that provides financial services and products such as very small loans, savings, micro leasing, and money transfer to assist the very poor in expanding or establishing their business. It’s mostly used in emerging economies where SMEs do not have access to other sources of financial assistance </w:t>
      </w:r>
      <w:sdt>
        <w:sdtPr>
          <w:rPr>
            <w:rFonts w:cs="Times New Roman"/>
            <w:szCs w:val="24"/>
          </w:rPr>
          <w:id w:val="-136416939"/>
        </w:sdtPr>
        <w:sdtEndPr>
          <w:rPr>
            <w:rFonts w:cs="Times New Roman"/>
            <w:szCs w:val="24"/>
          </w:rPr>
        </w:sdtEndPr>
        <w:sdtContent>
          <w:r>
            <w:rPr>
              <w:rFonts w:cs="Times New Roman"/>
              <w:szCs w:val="24"/>
            </w:rPr>
            <w:fldChar w:fldCharType="begin"/>
          </w:r>
          <w:r>
            <w:rPr>
              <w:rFonts w:cs="Times New Roman"/>
              <w:szCs w:val="24"/>
            </w:rPr>
            <w:instrText xml:space="preserve"> CITATION Mar982 \l 1033 </w:instrText>
          </w:r>
          <w:r>
            <w:rPr>
              <w:rFonts w:cs="Times New Roman"/>
              <w:szCs w:val="24"/>
            </w:rPr>
            <w:fldChar w:fldCharType="separate"/>
          </w:r>
          <w:r>
            <w:rPr>
              <w:rFonts w:cs="Times New Roman"/>
              <w:szCs w:val="24"/>
            </w:rPr>
            <w:t>(Marguerite, 1998)</w:t>
          </w:r>
          <w:r>
            <w:rPr>
              <w:rFonts w:cs="Times New Roman"/>
              <w:szCs w:val="24"/>
            </w:rPr>
            <w:fldChar w:fldCharType="end"/>
          </w:r>
        </w:sdtContent>
      </w:sdt>
      <w:r>
        <w:rPr>
          <w:rFonts w:cs="Times New Roman"/>
          <w:szCs w:val="24"/>
        </w:rPr>
        <w:t>. Through a process of commercialization and privatization, the government has diminished its role as the economy's primary driving force. As a result, the emphasis has changed away from large-scale businesses and toward Micro, Small and Medium Enterprises (MSMEs), which have the ability to build local linkages for quick and long-term economic development. The organized private sector was tasked with spearheading following industrialization efforts. Incentives granted to encourage expanded engagement in various areas were aimed at solving and reducing challenges faced by industrialists in the country, resulting in increased participation in these industries. Incentives were given to encourage increased engagement in these sectors by addressing and reducing challenges faced by industrialists in the country, providing them more discretion in boosting their contribution to the national economy. There is no proper definition for defined MSMEs and different institutions defined in different ways to MSMEs. As defined in most cases, the number of employees and the value of assets are considered.   Enterprise size by value of the asset as less than 1 million are micro, assets value between 20-50 million are medium, and more than 50 are large.</w:t>
      </w:r>
      <w:sdt>
        <w:sdtPr>
          <w:rPr>
            <w:rFonts w:cs="Times New Roman"/>
            <w:szCs w:val="24"/>
          </w:rPr>
          <w:id w:val="-1293275538"/>
        </w:sdtPr>
        <w:sdtEndPr>
          <w:rPr>
            <w:rFonts w:cs="Times New Roman"/>
            <w:szCs w:val="24"/>
          </w:rPr>
        </w:sdtEndPr>
        <w:sdtContent>
          <w:r>
            <w:rPr>
              <w:rFonts w:cs="Times New Roman"/>
              <w:szCs w:val="24"/>
            </w:rPr>
            <w:fldChar w:fldCharType="begin"/>
          </w:r>
          <w:r>
            <w:rPr>
              <w:rFonts w:cs="Times New Roman"/>
              <w:szCs w:val="24"/>
            </w:rPr>
            <w:instrText xml:space="preserve"> CITATION AMA08 \l 1033 </w:instrText>
          </w:r>
          <w:r>
            <w:rPr>
              <w:rFonts w:cs="Times New Roman"/>
              <w:szCs w:val="24"/>
            </w:rPr>
            <w:fldChar w:fldCharType="separate"/>
          </w:r>
          <w:r>
            <w:rPr>
              <w:rFonts w:cs="Times New Roman"/>
              <w:szCs w:val="24"/>
            </w:rPr>
            <w:t xml:space="preserve"> (A. M.Adam &amp; G.Tweneboah, 2008)</w:t>
          </w:r>
          <w:r>
            <w:rPr>
              <w:rFonts w:cs="Times New Roman"/>
              <w:szCs w:val="24"/>
            </w:rPr>
            <w:fldChar w:fldCharType="end"/>
          </w:r>
        </w:sdtContent>
      </w:sdt>
      <w:r>
        <w:rPr>
          <w:rFonts w:cs="Times New Roman"/>
          <w:szCs w:val="24"/>
        </w:rPr>
        <w:t xml:space="preserve"> And the department of census and statistics identify small industry as employees less than 10 and more than 10 are micro and small in respectively.</w:t>
      </w:r>
    </w:p>
    <w:p>
      <w:pPr>
        <w:spacing w:line="360" w:lineRule="auto"/>
        <w:jc w:val="both"/>
        <w:rPr>
          <w:rFonts w:cs="Times New Roman"/>
          <w:szCs w:val="24"/>
          <w:highlight w:val="yellow"/>
        </w:rPr>
      </w:pPr>
      <w:r>
        <w:rPr>
          <w:rFonts w:cs="Times New Roman"/>
          <w:szCs w:val="24"/>
        </w:rPr>
        <w:t>As per the Central bank report statistics</w:t>
      </w:r>
      <w:sdt>
        <w:sdtPr>
          <w:rPr>
            <w:rFonts w:cs="Times New Roman"/>
            <w:szCs w:val="24"/>
          </w:rPr>
          <w:id w:val="-1330673480"/>
        </w:sdtPr>
        <w:sdtEndPr>
          <w:rPr>
            <w:rFonts w:cs="Times New Roman"/>
            <w:szCs w:val="24"/>
            <w:highlight w:val="yellow"/>
          </w:rPr>
        </w:sdtEndPr>
        <w:sdtContent>
          <w:r>
            <w:rPr>
              <w:rFonts w:cs="Times New Roman"/>
              <w:szCs w:val="24"/>
              <w:highlight w:val="yellow"/>
            </w:rPr>
            <w:fldChar w:fldCharType="begin"/>
          </w:r>
          <w:r>
            <w:rPr>
              <w:rFonts w:cs="Times New Roman"/>
              <w:szCs w:val="24"/>
              <w:highlight w:val="yellow"/>
            </w:rPr>
            <w:instrText xml:space="preserve">CITATION Cen21 \l 1033 </w:instrText>
          </w:r>
          <w:r>
            <w:rPr>
              <w:rFonts w:cs="Times New Roman"/>
              <w:szCs w:val="24"/>
              <w:highlight w:val="yellow"/>
            </w:rPr>
            <w:fldChar w:fldCharType="separate"/>
          </w:r>
          <w:r>
            <w:rPr>
              <w:rFonts w:cs="Times New Roman"/>
              <w:szCs w:val="24"/>
              <w:highlight w:val="yellow"/>
            </w:rPr>
            <w:t xml:space="preserve"> (Central Bank Annual Report, 2021)</w:t>
          </w:r>
          <w:r>
            <w:rPr>
              <w:rFonts w:cs="Times New Roman"/>
              <w:szCs w:val="24"/>
              <w:highlight w:val="yellow"/>
            </w:rPr>
            <w:fldChar w:fldCharType="end"/>
          </w:r>
        </w:sdtContent>
      </w:sdt>
      <w:r>
        <w:rPr>
          <w:rFonts w:cs="Times New Roman"/>
          <w:szCs w:val="24"/>
          <w:highlight w:val="yellow"/>
        </w:rPr>
        <w:t>,</w:t>
      </w:r>
      <w:r>
        <w:rPr>
          <w:rFonts w:cs="Times New Roman"/>
          <w:szCs w:val="24"/>
        </w:rPr>
        <w:t xml:space="preserve"> MSMEs improve social well-being while promoting equal wealth distribution and have a significant impact on Sri Lanka's GDP. The growth of the MSME sector will open up numerous chances for people at all societal levels through generating employment prospects.</w:t>
      </w:r>
    </w:p>
    <w:p>
      <w:pPr>
        <w:spacing w:line="360" w:lineRule="auto"/>
        <w:jc w:val="both"/>
        <w:rPr>
          <w:rFonts w:cs="Times New Roman"/>
          <w:szCs w:val="24"/>
        </w:rPr>
      </w:pPr>
      <w:r>
        <w:rPr>
          <w:rFonts w:cs="Times New Roman"/>
          <w:szCs w:val="24"/>
        </w:rPr>
        <w:t xml:space="preserve">Although researchers have done more researches on this topic in Sri Lanka, there are very few numbers of researchers have been done for the Service Sector operating in Colombo District. Therefore, this research fulfil the empirical gap. By addressing in this knowledge gap in the Sri Lankan market, this research determined </w:t>
      </w:r>
      <w:r>
        <w:rPr>
          <w:rFonts w:cs="Times New Roman"/>
          <w:szCs w:val="24"/>
          <w:highlight w:val="yellow"/>
        </w:rPr>
        <w:t>how impact</w:t>
      </w:r>
      <w:r>
        <w:rPr>
          <w:rFonts w:cs="Times New Roman"/>
          <w:szCs w:val="24"/>
        </w:rPr>
        <w:t xml:space="preserve"> micro-finance services are to improving the growth of micro, small, and medium-sized companies (MSMEs) operating there, with a focus on the service sector in the Colombo District.</w:t>
      </w:r>
    </w:p>
    <w:p>
      <w:pPr>
        <w:spacing w:line="360" w:lineRule="auto"/>
        <w:jc w:val="both"/>
        <w:rPr>
          <w:rFonts w:cs="Times New Roman"/>
          <w:szCs w:val="24"/>
        </w:rPr>
      </w:pPr>
    </w:p>
    <w:p>
      <w:pPr>
        <w:pStyle w:val="3"/>
        <w:numPr>
          <w:ilvl w:val="0"/>
          <w:numId w:val="0"/>
        </w:numPr>
        <w:spacing w:line="360" w:lineRule="auto"/>
        <w:rPr>
          <w:rFonts w:cs="Times New Roman"/>
        </w:rPr>
      </w:pPr>
      <w:bookmarkStart w:id="3" w:name="_Toc28219_WPSOffice_Level1"/>
      <w:bookmarkStart w:id="4" w:name="_Toc125922256"/>
      <w:bookmarkStart w:id="5" w:name="_Toc141558975"/>
      <w:r>
        <w:rPr>
          <w:rFonts w:cs="Times New Roman"/>
        </w:rPr>
        <w:t>Research Objectives</w:t>
      </w:r>
      <w:bookmarkEnd w:id="3"/>
      <w:bookmarkEnd w:id="4"/>
      <w:bookmarkEnd w:id="5"/>
    </w:p>
    <w:p>
      <w:pPr>
        <w:spacing w:line="360" w:lineRule="auto"/>
        <w:rPr>
          <w:rFonts w:cs="Times New Roman"/>
          <w:szCs w:val="24"/>
        </w:rPr>
      </w:pPr>
    </w:p>
    <w:p>
      <w:pPr>
        <w:pStyle w:val="24"/>
        <w:numPr>
          <w:ilvl w:val="0"/>
          <w:numId w:val="2"/>
        </w:numPr>
        <w:spacing w:after="160" w:line="360" w:lineRule="auto"/>
        <w:jc w:val="both"/>
        <w:rPr>
          <w:rFonts w:cs="Times New Roman"/>
          <w:szCs w:val="24"/>
        </w:rPr>
      </w:pPr>
      <w:r>
        <w:rPr>
          <w:rFonts w:cs="Times New Roman"/>
          <w:szCs w:val="24"/>
        </w:rPr>
        <w:t xml:space="preserve">To examine the Impact of micro credit, micro savings and micro insurances </w:t>
      </w:r>
      <w:r>
        <w:rPr>
          <w:rFonts w:cs="Times New Roman"/>
          <w:szCs w:val="24"/>
          <w:highlight w:val="yellow"/>
        </w:rPr>
        <w:t>on Growth</w:t>
      </w:r>
      <w:r>
        <w:rPr>
          <w:rFonts w:cs="Times New Roman"/>
          <w:szCs w:val="24"/>
        </w:rPr>
        <w:t xml:space="preserve"> of micro, small and medium enterprises (MSMEs) in Service Sector operating in Colombo district.</w:t>
      </w:r>
    </w:p>
    <w:p>
      <w:pPr>
        <w:spacing w:after="160" w:line="360" w:lineRule="auto"/>
        <w:jc w:val="both"/>
        <w:rPr>
          <w:rFonts w:cs="Times New Roman"/>
          <w:szCs w:val="24"/>
        </w:rPr>
      </w:pPr>
    </w:p>
    <w:p>
      <w:pPr>
        <w:spacing w:after="160" w:line="360" w:lineRule="auto"/>
        <w:jc w:val="both"/>
        <w:rPr>
          <w:rFonts w:cs="Times New Roman"/>
          <w:szCs w:val="24"/>
        </w:rPr>
      </w:pPr>
    </w:p>
    <w:p>
      <w:pPr>
        <w:spacing w:after="160" w:line="360" w:lineRule="auto"/>
        <w:jc w:val="both"/>
        <w:rPr>
          <w:rFonts w:cs="Times New Roman"/>
          <w:szCs w:val="24"/>
        </w:rPr>
      </w:pPr>
    </w:p>
    <w:p>
      <w:pPr>
        <w:pStyle w:val="3"/>
        <w:numPr>
          <w:ilvl w:val="0"/>
          <w:numId w:val="0"/>
        </w:numPr>
        <w:spacing w:line="360" w:lineRule="auto"/>
        <w:rPr>
          <w:rFonts w:cs="Times New Roman"/>
        </w:rPr>
      </w:pPr>
      <w:bookmarkStart w:id="6" w:name="_Toc125922255"/>
      <w:bookmarkStart w:id="7" w:name="_Toc31278_WPSOffice_Level1"/>
      <w:bookmarkStart w:id="8" w:name="_Toc141558976"/>
      <w:r>
        <w:rPr>
          <w:rFonts w:cs="Times New Roman"/>
        </w:rPr>
        <w:t>Research Questions</w:t>
      </w:r>
      <w:bookmarkEnd w:id="6"/>
      <w:bookmarkEnd w:id="7"/>
      <w:bookmarkEnd w:id="8"/>
    </w:p>
    <w:p>
      <w:pPr>
        <w:spacing w:line="360" w:lineRule="auto"/>
        <w:rPr>
          <w:rFonts w:cs="Times New Roman"/>
          <w:szCs w:val="24"/>
        </w:rPr>
      </w:pPr>
    </w:p>
    <w:p>
      <w:pPr>
        <w:spacing w:line="360" w:lineRule="auto"/>
        <w:jc w:val="both"/>
        <w:rPr>
          <w:rFonts w:cs="Times New Roman"/>
          <w:szCs w:val="24"/>
        </w:rPr>
      </w:pPr>
      <w:r>
        <w:rPr>
          <w:rFonts w:cs="Times New Roman"/>
          <w:szCs w:val="24"/>
        </w:rPr>
        <w:t>Following Main research question can be presented based on the above discussed research problem.</w:t>
      </w:r>
    </w:p>
    <w:p>
      <w:pPr>
        <w:spacing w:line="360" w:lineRule="auto"/>
        <w:jc w:val="both"/>
        <w:rPr>
          <w:rFonts w:cs="Times New Roman"/>
          <w:szCs w:val="24"/>
        </w:rPr>
      </w:pPr>
      <w:r>
        <w:rPr>
          <w:rFonts w:cs="Times New Roman"/>
          <w:szCs w:val="24"/>
        </w:rPr>
        <w:t>What is the Impact between micro-finance services on Growth of Micro, Small and Medium Scale Enterprises (MSMEs) in Service Sector operating in Colombo District?</w:t>
      </w:r>
    </w:p>
    <w:p>
      <w:pPr>
        <w:spacing w:line="360" w:lineRule="auto"/>
        <w:jc w:val="both"/>
        <w:rPr>
          <w:rFonts w:cs="Times New Roman"/>
          <w:b/>
          <w:szCs w:val="24"/>
        </w:rPr>
      </w:pPr>
    </w:p>
    <w:p>
      <w:pPr>
        <w:pStyle w:val="3"/>
        <w:numPr>
          <w:ilvl w:val="0"/>
          <w:numId w:val="0"/>
        </w:numPr>
        <w:spacing w:line="360" w:lineRule="auto"/>
        <w:rPr>
          <w:rFonts w:cs="Times New Roman"/>
        </w:rPr>
      </w:pPr>
      <w:bookmarkStart w:id="9" w:name="_Toc141558977"/>
      <w:bookmarkStart w:id="10" w:name="_Toc20230_WPSOffice_Level1"/>
      <w:r>
        <w:rPr>
          <w:rFonts w:cs="Times New Roman"/>
        </w:rPr>
        <w:t>Supplementary Questions</w:t>
      </w:r>
      <w:bookmarkEnd w:id="9"/>
      <w:bookmarkEnd w:id="10"/>
    </w:p>
    <w:p>
      <w:pPr>
        <w:spacing w:after="160" w:line="360" w:lineRule="auto"/>
        <w:jc w:val="both"/>
        <w:rPr>
          <w:rFonts w:cs="Times New Roman"/>
          <w:szCs w:val="24"/>
        </w:rPr>
      </w:pPr>
    </w:p>
    <w:p>
      <w:pPr>
        <w:spacing w:after="160" w:line="360" w:lineRule="auto"/>
        <w:jc w:val="both"/>
        <w:rPr>
          <w:rFonts w:cs="Times New Roman"/>
          <w:szCs w:val="24"/>
        </w:rPr>
      </w:pPr>
      <w:r>
        <w:rPr>
          <w:rFonts w:cs="Times New Roman"/>
          <w:szCs w:val="24"/>
        </w:rPr>
        <w:t xml:space="preserve">1. What is the Impact of using micro-savings on the growth of </w:t>
      </w:r>
      <w:r>
        <w:rPr>
          <w:rFonts w:cs="Times New Roman"/>
          <w:szCs w:val="24"/>
          <w:highlight w:val="yellow"/>
        </w:rPr>
        <w:t>MSMEs</w:t>
      </w:r>
      <w:r>
        <w:rPr>
          <w:rFonts w:cs="Times New Roman"/>
          <w:szCs w:val="24"/>
        </w:rPr>
        <w:t xml:space="preserve"> Service Sector in Colombo District?</w:t>
      </w:r>
    </w:p>
    <w:p>
      <w:pPr>
        <w:spacing w:after="160" w:line="360" w:lineRule="auto"/>
        <w:jc w:val="both"/>
        <w:rPr>
          <w:rFonts w:cs="Times New Roman"/>
          <w:szCs w:val="24"/>
        </w:rPr>
      </w:pPr>
      <w:r>
        <w:rPr>
          <w:rFonts w:cs="Times New Roman"/>
          <w:szCs w:val="24"/>
        </w:rPr>
        <w:t xml:space="preserve">2. What is the Impact of using micro-credits facilities on the growth of </w:t>
      </w:r>
      <w:r>
        <w:rPr>
          <w:rFonts w:cs="Times New Roman"/>
          <w:szCs w:val="24"/>
          <w:highlight w:val="yellow"/>
        </w:rPr>
        <w:t>MSMEs</w:t>
      </w:r>
      <w:r>
        <w:rPr>
          <w:rFonts w:cs="Times New Roman"/>
          <w:szCs w:val="24"/>
        </w:rPr>
        <w:t xml:space="preserve"> Service Sector in Colombo District?</w:t>
      </w:r>
    </w:p>
    <w:p>
      <w:pPr>
        <w:spacing w:after="160" w:line="360" w:lineRule="auto"/>
        <w:jc w:val="both"/>
        <w:rPr>
          <w:rFonts w:cs="Times New Roman"/>
          <w:szCs w:val="24"/>
        </w:rPr>
      </w:pPr>
      <w:r>
        <w:rPr>
          <w:rFonts w:cs="Times New Roman"/>
          <w:szCs w:val="24"/>
        </w:rPr>
        <w:t xml:space="preserve">3. What is the Impact of using micro-insurance policies on the growth of </w:t>
      </w:r>
      <w:r>
        <w:rPr>
          <w:rFonts w:cs="Times New Roman"/>
          <w:szCs w:val="24"/>
          <w:highlight w:val="yellow"/>
        </w:rPr>
        <w:t>MSMEs</w:t>
      </w:r>
      <w:r>
        <w:rPr>
          <w:rFonts w:cs="Times New Roman"/>
          <w:szCs w:val="24"/>
        </w:rPr>
        <w:t xml:space="preserve"> Service Sector in Colombo District?</w:t>
      </w:r>
    </w:p>
    <w:p>
      <w:pPr>
        <w:pStyle w:val="2"/>
        <w:numPr>
          <w:ilvl w:val="0"/>
          <w:numId w:val="0"/>
        </w:numPr>
        <w:spacing w:line="360" w:lineRule="auto"/>
        <w:ind w:left="360" w:hanging="360"/>
        <w:rPr>
          <w:rFonts w:cs="Times New Roman"/>
          <w:sz w:val="28"/>
          <w:szCs w:val="28"/>
        </w:rPr>
      </w:pPr>
      <w:bookmarkStart w:id="11" w:name="_Toc125922259"/>
      <w:bookmarkStart w:id="12" w:name="_Toc7193_WPSOffice_Level1"/>
      <w:bookmarkStart w:id="13" w:name="_Toc141558978"/>
      <w:r>
        <w:rPr>
          <w:rFonts w:cs="Times New Roman"/>
          <w:sz w:val="28"/>
          <w:szCs w:val="28"/>
        </w:rPr>
        <w:t xml:space="preserve">Literature Review </w:t>
      </w:r>
      <w:bookmarkEnd w:id="11"/>
      <w:r>
        <w:rPr>
          <w:rFonts w:cs="Times New Roman"/>
          <w:sz w:val="28"/>
          <w:szCs w:val="28"/>
        </w:rPr>
        <w:t>and</w:t>
      </w:r>
      <w:r>
        <w:rPr>
          <w:rFonts w:cs="Times New Roman"/>
          <w:sz w:val="28"/>
          <w:szCs w:val="28"/>
          <w:lang w:val="en-GB"/>
        </w:rPr>
        <w:t xml:space="preserve"> </w:t>
      </w:r>
      <w:r>
        <w:rPr>
          <w:rFonts w:cs="Times New Roman"/>
          <w:sz w:val="28"/>
          <w:szCs w:val="28"/>
        </w:rPr>
        <w:t>Hypothesis development</w:t>
      </w:r>
      <w:bookmarkEnd w:id="12"/>
      <w:bookmarkEnd w:id="13"/>
      <w:r>
        <w:rPr>
          <w:rFonts w:cs="Times New Roman"/>
          <w:sz w:val="28"/>
          <w:szCs w:val="28"/>
        </w:rPr>
        <w:t xml:space="preserve"> </w:t>
      </w:r>
    </w:p>
    <w:p>
      <w:pPr>
        <w:pStyle w:val="30"/>
        <w:spacing w:line="360" w:lineRule="auto"/>
        <w:rPr>
          <w:rFonts w:cs="Times New Roman"/>
          <w:sz w:val="16"/>
          <w:szCs w:val="16"/>
        </w:rPr>
      </w:pPr>
    </w:p>
    <w:p>
      <w:pPr>
        <w:tabs>
          <w:tab w:val="left" w:pos="6211"/>
        </w:tabs>
        <w:spacing w:line="360" w:lineRule="auto"/>
        <w:jc w:val="both"/>
        <w:rPr>
          <w:rFonts w:cs="Times New Roman"/>
          <w:szCs w:val="24"/>
        </w:rPr>
      </w:pPr>
      <w:r>
        <w:rPr>
          <w:rFonts w:cs="Times New Roman"/>
          <w:szCs w:val="24"/>
        </w:rPr>
        <w:t>The following part provides a solid theoretical foundation through the available research relevant to the performance of micro-finance and MSMEs.</w:t>
      </w:r>
    </w:p>
    <w:p>
      <w:pPr>
        <w:tabs>
          <w:tab w:val="left" w:pos="6211"/>
        </w:tabs>
        <w:spacing w:line="360" w:lineRule="auto"/>
        <w:jc w:val="both"/>
        <w:rPr>
          <w:rFonts w:cs="Times New Roman"/>
          <w:szCs w:val="24"/>
        </w:rPr>
      </w:pPr>
      <w:r>
        <w:rPr>
          <w:rFonts w:cs="Times New Roman"/>
          <w:szCs w:val="24"/>
        </w:rPr>
        <w:t xml:space="preserve">Since its influence on all types of economies cannot be understated, SME continues to be one of the most discussed topics in literature. SMEs are recognized on a global scale as the driving force behind economic expansion and for advancing equitable development. The sector's employment potential at minimal capital cost is by far its greatest benefit. The labor intensity of the SME makes up over 90% of all enterprises in most economies, and it is credited with producing the highest rate of employment growth as well as a significant portion of industrial production and exports </w:t>
      </w:r>
      <w:sdt>
        <w:sdtPr>
          <w:rPr>
            <w:rFonts w:cs="Times New Roman"/>
            <w:szCs w:val="24"/>
          </w:rPr>
          <w:id w:val="-1053928224"/>
        </w:sdtPr>
        <w:sdtEndPr>
          <w:rPr>
            <w:rFonts w:cs="Times New Roman"/>
            <w:szCs w:val="24"/>
          </w:rPr>
        </w:sdtEndPr>
        <w:sdtContent>
          <w:r>
            <w:rPr>
              <w:rFonts w:cs="Times New Roman"/>
              <w:szCs w:val="24"/>
            </w:rPr>
            <w:fldChar w:fldCharType="begin"/>
          </w:r>
          <w:r>
            <w:rPr>
              <w:rFonts w:cs="Times New Roman"/>
              <w:szCs w:val="24"/>
            </w:rPr>
            <w:instrText xml:space="preserve"> CITATION Gov07 \l 1033 </w:instrText>
          </w:r>
          <w:r>
            <w:rPr>
              <w:rFonts w:cs="Times New Roman"/>
              <w:szCs w:val="24"/>
            </w:rPr>
            <w:fldChar w:fldCharType="separate"/>
          </w:r>
          <w:r>
            <w:rPr>
              <w:rFonts w:cs="Times New Roman"/>
              <w:szCs w:val="24"/>
            </w:rPr>
            <w:t>(Government of India, 2007)</w:t>
          </w:r>
          <w:r>
            <w:rPr>
              <w:rFonts w:cs="Times New Roman"/>
              <w:szCs w:val="24"/>
            </w:rPr>
            <w:fldChar w:fldCharType="end"/>
          </w:r>
        </w:sdtContent>
      </w:sdt>
      <w:r>
        <w:rPr>
          <w:rFonts w:cs="Times New Roman"/>
          <w:szCs w:val="24"/>
        </w:rPr>
        <w:t xml:space="preserve">. The rapid growth of small enterprises in economies of developed countries in the 1980s and 1990s has also led to a widespread belief that small, new ventures are the most crucial. The most significant source of entrepreneurship is new ventures, which also directly support economic growth as a dynamic and innovative force. </w:t>
      </w:r>
      <w:sdt>
        <w:sdtPr>
          <w:rPr>
            <w:rFonts w:cs="Times New Roman"/>
            <w:szCs w:val="24"/>
          </w:rPr>
          <w:id w:val="2136203299"/>
        </w:sdtPr>
        <w:sdtEndPr>
          <w:rPr>
            <w:rFonts w:cs="Times New Roman"/>
            <w:szCs w:val="24"/>
          </w:rPr>
        </w:sdtEndPr>
        <w:sdtContent>
          <w:r>
            <w:rPr>
              <w:rFonts w:cs="Times New Roman"/>
              <w:szCs w:val="24"/>
            </w:rPr>
            <w:fldChar w:fldCharType="begin"/>
          </w:r>
          <w:r>
            <w:rPr>
              <w:rFonts w:cs="Times New Roman"/>
              <w:szCs w:val="24"/>
            </w:rPr>
            <w:instrText xml:space="preserve">CITATION Rek08 \l 1033 </w:instrText>
          </w:r>
          <w:r>
            <w:rPr>
              <w:rFonts w:cs="Times New Roman"/>
              <w:szCs w:val="24"/>
            </w:rPr>
            <w:fldChar w:fldCharType="separate"/>
          </w:r>
          <w:r>
            <w:rPr>
              <w:rFonts w:cs="Times New Roman"/>
              <w:szCs w:val="24"/>
            </w:rPr>
            <w:t>(Pioty, 2008)</w:t>
          </w:r>
          <w:r>
            <w:rPr>
              <w:rFonts w:cs="Times New Roman"/>
              <w:szCs w:val="24"/>
            </w:rPr>
            <w:fldChar w:fldCharType="end"/>
          </w:r>
        </w:sdtContent>
      </w:sdt>
      <w:r>
        <w:rPr>
          <w:rFonts w:cs="Times New Roman"/>
          <w:szCs w:val="24"/>
        </w:rPr>
        <w:t>. The SMEs sector, however, has number of challenges. The most important of these is known to be financing.</w:t>
      </w:r>
    </w:p>
    <w:p>
      <w:pPr>
        <w:spacing w:line="360" w:lineRule="auto"/>
        <w:jc w:val="both"/>
        <w:rPr>
          <w:rFonts w:eastAsia="Times New Roman" w:cs="Times New Roman"/>
          <w:b/>
          <w:bCs/>
          <w:szCs w:val="24"/>
        </w:rPr>
      </w:pPr>
    </w:p>
    <w:p>
      <w:pPr>
        <w:pStyle w:val="3"/>
        <w:numPr>
          <w:ilvl w:val="0"/>
          <w:numId w:val="0"/>
        </w:numPr>
        <w:spacing w:line="360" w:lineRule="auto"/>
        <w:ind w:left="720" w:hanging="720"/>
        <w:rPr>
          <w:rFonts w:cs="Times New Roman"/>
        </w:rPr>
      </w:pPr>
      <w:bookmarkStart w:id="14" w:name="_Toc28926_WPSOffice_Level1"/>
      <w:bookmarkStart w:id="15" w:name="_Toc92489894"/>
      <w:bookmarkStart w:id="16" w:name="_Toc125922260"/>
      <w:bookmarkStart w:id="17" w:name="_Toc141558979"/>
      <w:r>
        <w:rPr>
          <w:rFonts w:cs="Times New Roman"/>
        </w:rPr>
        <w:t>Micro-finance</w:t>
      </w:r>
      <w:bookmarkEnd w:id="14"/>
      <w:bookmarkEnd w:id="15"/>
      <w:bookmarkEnd w:id="16"/>
      <w:bookmarkEnd w:id="17"/>
    </w:p>
    <w:p>
      <w:pPr>
        <w:spacing w:line="360" w:lineRule="auto"/>
        <w:rPr>
          <w:rFonts w:cs="Times New Roman"/>
          <w:szCs w:val="24"/>
        </w:rPr>
      </w:pPr>
    </w:p>
    <w:p>
      <w:pPr>
        <w:spacing w:line="360" w:lineRule="auto"/>
        <w:jc w:val="both"/>
        <w:rPr>
          <w:rFonts w:cs="Times New Roman"/>
          <w:szCs w:val="24"/>
        </w:rPr>
      </w:pPr>
      <w:r>
        <w:rPr>
          <w:rFonts w:cs="Times New Roman"/>
          <w:szCs w:val="24"/>
        </w:rPr>
        <w:t xml:space="preserve">Micro-finance is defined as a development tool that provides financial services and products such as very small loans, savings, micro leasing, and money transfer to assist the very poor in expanding or establishing their business. It’s mostly used in emerging economies where SMEs do not have access to other sources of financial assistance </w:t>
      </w:r>
      <w:sdt>
        <w:sdtPr>
          <w:rPr>
            <w:rFonts w:cs="Times New Roman"/>
            <w:szCs w:val="24"/>
          </w:rPr>
          <w:id w:val="-885100178"/>
        </w:sdtPr>
        <w:sdtEndPr>
          <w:rPr>
            <w:rFonts w:cs="Times New Roman"/>
            <w:szCs w:val="24"/>
          </w:rPr>
        </w:sdtEndPr>
        <w:sdtContent>
          <w:r>
            <w:rPr>
              <w:rFonts w:cs="Times New Roman"/>
              <w:szCs w:val="24"/>
            </w:rPr>
            <w:fldChar w:fldCharType="begin"/>
          </w:r>
          <w:r>
            <w:rPr>
              <w:rFonts w:cs="Times New Roman"/>
              <w:szCs w:val="24"/>
            </w:rPr>
            <w:instrText xml:space="preserve">CITATION Placeholder1 \l 1033 </w:instrText>
          </w:r>
          <w:r>
            <w:rPr>
              <w:rFonts w:cs="Times New Roman"/>
              <w:szCs w:val="24"/>
            </w:rPr>
            <w:fldChar w:fldCharType="separate"/>
          </w:r>
          <w:r>
            <w:rPr>
              <w:rFonts w:cs="Times New Roman"/>
              <w:szCs w:val="24"/>
            </w:rPr>
            <w:t>(Marguerite, Impact of Microfinance Services on Growth of Micro Small and Medium. , 1998)</w:t>
          </w:r>
          <w:r>
            <w:rPr>
              <w:rFonts w:cs="Times New Roman"/>
              <w:szCs w:val="24"/>
            </w:rPr>
            <w:fldChar w:fldCharType="end"/>
          </w:r>
        </w:sdtContent>
      </w:sdt>
      <w:r>
        <w:rPr>
          <w:rFonts w:cs="Times New Roman"/>
          <w:szCs w:val="24"/>
        </w:rPr>
        <w:t xml:space="preserve">. The industrial development bank defines a small industry as an establishment whose capital investment in plant &amp; machinery doesn’t exceed Rs 4million (US$ 4200) &amp; the total number of regular employees doesn’t exceed 50 persons </w:t>
      </w:r>
      <w:sdt>
        <w:sdtPr>
          <w:rPr>
            <w:rFonts w:cs="Times New Roman"/>
            <w:szCs w:val="24"/>
          </w:rPr>
          <w:id w:val="-1492481339"/>
        </w:sdtPr>
        <w:sdtEndPr>
          <w:rPr>
            <w:rFonts w:cs="Times New Roman"/>
            <w:szCs w:val="24"/>
          </w:rPr>
        </w:sdtEndPr>
        <w:sdtContent>
          <w:r>
            <w:rPr>
              <w:rFonts w:cs="Times New Roman"/>
              <w:szCs w:val="24"/>
            </w:rPr>
            <w:fldChar w:fldCharType="begin"/>
          </w:r>
          <w:r>
            <w:rPr>
              <w:rFonts w:cs="Times New Roman"/>
              <w:szCs w:val="24"/>
            </w:rPr>
            <w:instrText xml:space="preserve">CITATION Placeholder1 \m gvg \l 1033 </w:instrText>
          </w:r>
          <w:r>
            <w:rPr>
              <w:rFonts w:cs="Times New Roman"/>
              <w:szCs w:val="24"/>
            </w:rPr>
            <w:fldChar w:fldCharType="separate"/>
          </w:r>
          <w:r>
            <w:rPr>
              <w:rFonts w:cs="Times New Roman"/>
              <w:szCs w:val="24"/>
            </w:rPr>
            <w:t>(Marguerite, Impact of Microfinance Services on Growth of Micro Small and Medium, 1998; gvgguy)</w:t>
          </w:r>
          <w:r>
            <w:rPr>
              <w:rFonts w:cs="Times New Roman"/>
              <w:szCs w:val="24"/>
            </w:rPr>
            <w:fldChar w:fldCharType="end"/>
          </w:r>
        </w:sdtContent>
      </w:sdt>
      <w:r>
        <w:rPr>
          <w:rFonts w:cs="Times New Roman"/>
          <w:szCs w:val="24"/>
        </w:rPr>
        <w:t xml:space="preserve">. A type of banking service known as micro-finance is one that is offered to unemployed or low-income people or groups that would not otherwise have access to financial services </w:t>
      </w:r>
      <w:sdt>
        <w:sdtPr>
          <w:rPr>
            <w:rFonts w:cs="Times New Roman"/>
            <w:szCs w:val="24"/>
          </w:rPr>
          <w:id w:val="-914168116"/>
        </w:sdtPr>
        <w:sdtEndPr>
          <w:rPr>
            <w:rFonts w:cs="Times New Roman"/>
            <w:szCs w:val="24"/>
          </w:rPr>
        </w:sdtEndPr>
        <w:sdtContent>
          <w:r>
            <w:rPr>
              <w:rFonts w:cs="Times New Roman"/>
              <w:szCs w:val="24"/>
            </w:rPr>
            <w:fldChar w:fldCharType="begin"/>
          </w:r>
          <w:r>
            <w:rPr>
              <w:rFonts w:cs="Times New Roman"/>
              <w:szCs w:val="24"/>
            </w:rPr>
            <w:instrText xml:space="preserve"> CITATION Sch13 \l 1033 </w:instrText>
          </w:r>
          <w:r>
            <w:rPr>
              <w:rFonts w:cs="Times New Roman"/>
              <w:szCs w:val="24"/>
            </w:rPr>
            <w:fldChar w:fldCharType="separate"/>
          </w:r>
          <w:r>
            <w:rPr>
              <w:rFonts w:cs="Times New Roman"/>
              <w:szCs w:val="24"/>
            </w:rPr>
            <w:t>(Schicks, 2013)</w:t>
          </w:r>
          <w:r>
            <w:rPr>
              <w:rFonts w:cs="Times New Roman"/>
              <w:szCs w:val="24"/>
            </w:rPr>
            <w:fldChar w:fldCharType="end"/>
          </w:r>
        </w:sdtContent>
      </w:sdt>
      <w:r>
        <w:rPr>
          <w:rFonts w:cs="Times New Roman"/>
          <w:szCs w:val="24"/>
        </w:rPr>
        <w:t xml:space="preserve">. As a result, it is not included in the typical financial services offered by commercial banks, and even the target customer base is different. Through micro-finance, people could get acceptable small business loans in a secure manner that complies with moral lending principles. Such a practice is promoting business methods, and those who desire to stand on their own will gain from it in particular </w:t>
      </w:r>
      <w:sdt>
        <w:sdtPr>
          <w:rPr>
            <w:rFonts w:cs="Times New Roman"/>
            <w:szCs w:val="24"/>
          </w:rPr>
          <w:id w:val="782389563"/>
        </w:sdtPr>
        <w:sdtEndPr>
          <w:rPr>
            <w:rFonts w:cs="Times New Roman"/>
            <w:szCs w:val="24"/>
          </w:rPr>
        </w:sdtEndPr>
        <w:sdtContent>
          <w:r>
            <w:rPr>
              <w:rFonts w:cs="Times New Roman"/>
              <w:szCs w:val="24"/>
            </w:rPr>
            <w:fldChar w:fldCharType="begin"/>
          </w:r>
          <w:r>
            <w:rPr>
              <w:rFonts w:cs="Times New Roman"/>
              <w:szCs w:val="24"/>
            </w:rPr>
            <w:instrText xml:space="preserve"> CITATION CSR15 \l 1033 </w:instrText>
          </w:r>
          <w:r>
            <w:rPr>
              <w:rFonts w:cs="Times New Roman"/>
              <w:szCs w:val="24"/>
            </w:rPr>
            <w:fldChar w:fldCharType="separate"/>
          </w:r>
          <w:r>
            <w:rPr>
              <w:rFonts w:cs="Times New Roman"/>
              <w:szCs w:val="24"/>
            </w:rPr>
            <w:t>(Manak, 2015)</w:t>
          </w:r>
          <w:r>
            <w:rPr>
              <w:rFonts w:cs="Times New Roman"/>
              <w:szCs w:val="24"/>
            </w:rPr>
            <w:fldChar w:fldCharType="end"/>
          </w:r>
        </w:sdtContent>
      </w:sdt>
      <w:r>
        <w:rPr>
          <w:rFonts w:cs="Times New Roman"/>
          <w:szCs w:val="24"/>
        </w:rPr>
        <w:t xml:space="preserve">. The World Bank estimated that over 500 million people have benefited from micro-finance related activities, and the ultimate aim of micro-finance is to eventually provide underprivileged people with a chance to become self-sufficient </w:t>
      </w:r>
      <w:sdt>
        <w:sdtPr>
          <w:rPr>
            <w:rFonts w:cs="Times New Roman"/>
            <w:szCs w:val="24"/>
          </w:rPr>
          <w:id w:val="-2134161467"/>
        </w:sdtPr>
        <w:sdtEndPr>
          <w:rPr>
            <w:rFonts w:cs="Times New Roman"/>
            <w:szCs w:val="24"/>
          </w:rPr>
        </w:sdtEndPr>
        <w:sdtContent>
          <w:r>
            <w:rPr>
              <w:rFonts w:cs="Times New Roman"/>
              <w:szCs w:val="24"/>
            </w:rPr>
            <w:fldChar w:fldCharType="begin"/>
          </w:r>
          <w:r>
            <w:rPr>
              <w:rFonts w:cs="Times New Roman"/>
              <w:szCs w:val="24"/>
            </w:rPr>
            <w:instrText xml:space="preserve"> CITATION SBa06 \l 1033 </w:instrText>
          </w:r>
          <w:r>
            <w:rPr>
              <w:rFonts w:cs="Times New Roman"/>
              <w:szCs w:val="24"/>
            </w:rPr>
            <w:fldChar w:fldCharType="separate"/>
          </w:r>
          <w:r>
            <w:rPr>
              <w:rFonts w:cs="Times New Roman"/>
              <w:szCs w:val="24"/>
            </w:rPr>
            <w:t>(S.Bakhtiari, 2006)</w:t>
          </w:r>
          <w:r>
            <w:rPr>
              <w:rFonts w:cs="Times New Roman"/>
              <w:szCs w:val="24"/>
            </w:rPr>
            <w:fldChar w:fldCharType="end"/>
          </w:r>
        </w:sdtContent>
      </w:sdt>
      <w:r>
        <w:rPr>
          <w:rFonts w:cs="Times New Roman"/>
          <w:szCs w:val="24"/>
        </w:rPr>
        <w:t xml:space="preserve">. Micro-finance institutions have switched from lending to large-scale enterprises to SMEs as a result of SMEs developing domestic links and sustainable industrial development </w:t>
      </w:r>
      <w:sdt>
        <w:sdtPr>
          <w:rPr>
            <w:rFonts w:cs="Times New Roman"/>
            <w:szCs w:val="24"/>
          </w:rPr>
          <w:id w:val="-1911530059"/>
        </w:sdtPr>
        <w:sdtEndPr>
          <w:rPr>
            <w:rFonts w:cs="Times New Roman"/>
            <w:szCs w:val="24"/>
          </w:rPr>
        </w:sdtEndPr>
        <w:sdtContent>
          <w:r>
            <w:rPr>
              <w:rFonts w:cs="Times New Roman"/>
              <w:szCs w:val="24"/>
            </w:rPr>
            <w:fldChar w:fldCharType="begin"/>
          </w:r>
          <w:r>
            <w:rPr>
              <w:rFonts w:cs="Times New Roman"/>
              <w:szCs w:val="24"/>
            </w:rPr>
            <w:instrText xml:space="preserve"> CITATION JNC12 \l 1033 </w:instrText>
          </w:r>
          <w:r>
            <w:rPr>
              <w:rFonts w:cs="Times New Roman"/>
              <w:szCs w:val="24"/>
            </w:rPr>
            <w:fldChar w:fldCharType="separate"/>
          </w:r>
          <w:r>
            <w:rPr>
              <w:rFonts w:cs="Times New Roman"/>
              <w:szCs w:val="24"/>
            </w:rPr>
            <w:t>(Zhiri, 2012)</w:t>
          </w:r>
          <w:r>
            <w:rPr>
              <w:rFonts w:cs="Times New Roman"/>
              <w:szCs w:val="24"/>
            </w:rPr>
            <w:fldChar w:fldCharType="end"/>
          </w:r>
          <w:r>
            <w:rPr>
              <w:rFonts w:cs="Times New Roman"/>
              <w:szCs w:val="24"/>
            </w:rPr>
            <w:t>.</w:t>
          </w:r>
        </w:sdtContent>
      </w:sdt>
      <w:r>
        <w:rPr>
          <w:rFonts w:cs="Times New Roman"/>
          <w:szCs w:val="24"/>
        </w:rPr>
        <w:t xml:space="preserve">Micro-finance is a technique for development that is primarily employed in emerging economies where access to financial aid is limited </w:t>
      </w:r>
      <w:sdt>
        <w:sdtPr>
          <w:rPr>
            <w:rFonts w:cs="Times New Roman"/>
            <w:szCs w:val="24"/>
            <w:highlight w:val="yellow"/>
          </w:rPr>
          <w:id w:val="-714812608"/>
        </w:sdtPr>
        <w:sdtEndPr>
          <w:rPr>
            <w:rFonts w:cs="Times New Roman"/>
            <w:szCs w:val="24"/>
            <w:highlight w:val="none"/>
          </w:rPr>
        </w:sdtEndPr>
        <w:sdtContent>
          <w:r>
            <w:rPr>
              <w:rFonts w:cs="Times New Roman"/>
              <w:szCs w:val="24"/>
              <w:highlight w:val="yellow"/>
            </w:rPr>
            <w:fldChar w:fldCharType="begin"/>
          </w:r>
          <w:r>
            <w:rPr>
              <w:rFonts w:cs="Times New Roman"/>
              <w:szCs w:val="24"/>
              <w:highlight w:val="yellow"/>
            </w:rPr>
            <w:instrText xml:space="preserve">CITATION KRa19 \l 1033 </w:instrText>
          </w:r>
          <w:r>
            <w:rPr>
              <w:rFonts w:cs="Times New Roman"/>
              <w:szCs w:val="24"/>
              <w:highlight w:val="yellow"/>
            </w:rPr>
            <w:fldChar w:fldCharType="separate"/>
          </w:r>
          <w:r>
            <w:rPr>
              <w:rFonts w:cs="Times New Roman"/>
              <w:szCs w:val="24"/>
              <w:highlight w:val="yellow"/>
            </w:rPr>
            <w:t>(Rathnayake K., 2019)</w:t>
          </w:r>
          <w:r>
            <w:rPr>
              <w:rFonts w:cs="Times New Roman"/>
              <w:szCs w:val="24"/>
              <w:highlight w:val="yellow"/>
            </w:rPr>
            <w:fldChar w:fldCharType="end"/>
          </w:r>
          <w:r>
            <w:rPr>
              <w:rFonts w:cs="Times New Roman"/>
              <w:szCs w:val="24"/>
            </w:rPr>
            <w:t xml:space="preserve">. </w:t>
          </w:r>
        </w:sdtContent>
      </w:sdt>
      <w:r>
        <w:rPr>
          <w:rFonts w:cs="Times New Roman"/>
          <w:szCs w:val="24"/>
        </w:rPr>
        <w:t xml:space="preserve">The idea of micro-finance is not new. Since the 18th century, it has been in use. The earliest occurrence of micro lending is where the early roots of micro-finance can be found. As a result, Jonathan Swift created the Irish Loan Fund system's micro lending system as the initial step in an effort to better the lives of Ireland's poor population </w:t>
      </w:r>
      <w:sdt>
        <w:sdtPr>
          <w:rPr>
            <w:rFonts w:cs="Times New Roman"/>
            <w:szCs w:val="24"/>
          </w:rPr>
          <w:id w:val="1928456999"/>
        </w:sdtPr>
        <w:sdtEndPr>
          <w:rPr>
            <w:rFonts w:cs="Times New Roman"/>
            <w:szCs w:val="24"/>
          </w:rPr>
        </w:sdtEndPr>
        <w:sdtContent>
          <w:r>
            <w:rPr>
              <w:rFonts w:cs="Times New Roman"/>
              <w:szCs w:val="24"/>
            </w:rPr>
            <w:fldChar w:fldCharType="begin"/>
          </w:r>
          <w:r>
            <w:rPr>
              <w:rFonts w:cs="Times New Roman"/>
              <w:szCs w:val="24"/>
            </w:rPr>
            <w:instrText xml:space="preserve"> CITATION Hol \l 1033 </w:instrText>
          </w:r>
          <w:r>
            <w:rPr>
              <w:rFonts w:cs="Times New Roman"/>
              <w:szCs w:val="24"/>
            </w:rPr>
            <w:fldChar w:fldCharType="separate"/>
          </w:r>
          <w:r>
            <w:rPr>
              <w:rFonts w:cs="Times New Roman"/>
              <w:szCs w:val="24"/>
            </w:rPr>
            <w:t>(Sweetman)</w:t>
          </w:r>
          <w:r>
            <w:rPr>
              <w:rFonts w:cs="Times New Roman"/>
              <w:szCs w:val="24"/>
            </w:rPr>
            <w:fldChar w:fldCharType="end"/>
          </w:r>
        </w:sdtContent>
      </w:sdt>
      <w:r>
        <w:rPr>
          <w:rFonts w:cs="Times New Roman"/>
          <w:szCs w:val="24"/>
        </w:rPr>
        <w:t xml:space="preserve">. The 1970s saw the widespread adoption of micro financing as a result of its slow evolution and later modern form. According to </w:t>
      </w:r>
      <w:sdt>
        <w:sdtPr>
          <w:rPr>
            <w:rFonts w:cs="Times New Roman"/>
            <w:szCs w:val="24"/>
          </w:rPr>
          <w:id w:val="-1401666222"/>
        </w:sdtPr>
        <w:sdtEndPr>
          <w:rPr>
            <w:rFonts w:cs="Times New Roman"/>
            <w:szCs w:val="24"/>
          </w:rPr>
        </w:sdtEndPr>
        <w:sdtContent>
          <w:r>
            <w:rPr>
              <w:rFonts w:cs="Times New Roman"/>
              <w:szCs w:val="24"/>
            </w:rPr>
            <w:fldChar w:fldCharType="begin"/>
          </w:r>
          <w:r>
            <w:rPr>
              <w:rFonts w:cs="Times New Roman"/>
              <w:szCs w:val="24"/>
            </w:rPr>
            <w:instrText xml:space="preserve">CITATION CSh02 \l 1033 </w:instrText>
          </w:r>
          <w:r>
            <w:rPr>
              <w:rFonts w:cs="Times New Roman"/>
              <w:szCs w:val="24"/>
            </w:rPr>
            <w:fldChar w:fldCharType="separate"/>
          </w:r>
          <w:r>
            <w:rPr>
              <w:rFonts w:cs="Times New Roman"/>
              <w:szCs w:val="24"/>
            </w:rPr>
            <w:t>(Sharma's, 2002)</w:t>
          </w:r>
          <w:r>
            <w:rPr>
              <w:rFonts w:cs="Times New Roman"/>
              <w:szCs w:val="24"/>
            </w:rPr>
            <w:fldChar w:fldCharType="end"/>
          </w:r>
        </w:sdtContent>
      </w:sdt>
      <w:r>
        <w:rPr>
          <w:rFonts w:cs="Times New Roman"/>
          <w:szCs w:val="24"/>
        </w:rPr>
        <w:t xml:space="preserve"> research, the micro-finance policy has been a significant problem in the rural financial sector. He claims that 10 acts of Parliament in Nepal govern micro-finance activities. However, the micro-finance sector now contributes significantly to the financial sector in many nations </w:t>
      </w:r>
      <w:sdt>
        <w:sdtPr>
          <w:rPr>
            <w:rFonts w:cs="Times New Roman"/>
            <w:szCs w:val="24"/>
          </w:rPr>
          <w:id w:val="-1701777155"/>
        </w:sdtPr>
        <w:sdtEndPr>
          <w:rPr>
            <w:rFonts w:cs="Times New Roman"/>
            <w:szCs w:val="24"/>
          </w:rPr>
        </w:sdtEndPr>
        <w:sdtContent>
          <w:r>
            <w:rPr>
              <w:rFonts w:cs="Times New Roman"/>
              <w:szCs w:val="24"/>
            </w:rPr>
            <w:fldChar w:fldCharType="begin"/>
          </w:r>
          <w:r>
            <w:rPr>
              <w:rFonts w:cs="Times New Roman"/>
              <w:szCs w:val="24"/>
            </w:rPr>
            <w:instrText xml:space="preserve"> CITATION IRo15 \l 1033 </w:instrText>
          </w:r>
          <w:r>
            <w:rPr>
              <w:rFonts w:cs="Times New Roman"/>
              <w:szCs w:val="24"/>
            </w:rPr>
            <w:fldChar w:fldCharType="separate"/>
          </w:r>
          <w:r>
            <w:rPr>
              <w:rFonts w:cs="Times New Roman"/>
              <w:szCs w:val="24"/>
            </w:rPr>
            <w:t>(I. Rotich, 2015)</w:t>
          </w:r>
          <w:r>
            <w:rPr>
              <w:rFonts w:cs="Times New Roman"/>
              <w:szCs w:val="24"/>
            </w:rPr>
            <w:fldChar w:fldCharType="end"/>
          </w:r>
        </w:sdtContent>
      </w:sdt>
      <w:r>
        <w:rPr>
          <w:rFonts w:cs="Times New Roman"/>
          <w:szCs w:val="24"/>
        </w:rPr>
        <w:t>. Micro-finance, according to the above study, contributes significantly to the eradication of poverty and has a favorable effect on asset levels. Researchers have further emphasized that micro-finance is a highly effective and reasonably priced anti-poverty strategy compared to other anti-poverty methods in this article.</w:t>
      </w:r>
    </w:p>
    <w:p>
      <w:pPr>
        <w:spacing w:line="360" w:lineRule="auto"/>
        <w:jc w:val="both"/>
        <w:rPr>
          <w:rFonts w:cs="Times New Roman"/>
          <w:szCs w:val="24"/>
        </w:rPr>
      </w:pPr>
    </w:p>
    <w:p>
      <w:pPr>
        <w:spacing w:line="360" w:lineRule="auto"/>
        <w:jc w:val="both"/>
        <w:rPr>
          <w:rFonts w:cs="Times New Roman"/>
          <w:szCs w:val="24"/>
        </w:rPr>
      </w:pPr>
    </w:p>
    <w:p>
      <w:pPr>
        <w:pStyle w:val="3"/>
        <w:numPr>
          <w:ilvl w:val="0"/>
          <w:numId w:val="0"/>
        </w:numPr>
        <w:spacing w:line="360" w:lineRule="auto"/>
        <w:rPr>
          <w:rFonts w:cs="Times New Roman"/>
        </w:rPr>
      </w:pPr>
      <w:bookmarkStart w:id="18" w:name="_Toc8483_WPSOffice_Level1"/>
      <w:bookmarkStart w:id="19" w:name="_Toc125922261"/>
      <w:bookmarkStart w:id="20" w:name="_Toc92489895"/>
      <w:bookmarkStart w:id="21" w:name="_Toc141558980"/>
      <w:r>
        <w:rPr>
          <w:rFonts w:cs="Times New Roman"/>
        </w:rPr>
        <w:t>Micro Enterprises</w:t>
      </w:r>
      <w:bookmarkEnd w:id="18"/>
      <w:bookmarkEnd w:id="19"/>
      <w:bookmarkEnd w:id="20"/>
      <w:bookmarkEnd w:id="21"/>
    </w:p>
    <w:p>
      <w:pPr>
        <w:spacing w:line="360" w:lineRule="auto"/>
        <w:rPr>
          <w:rFonts w:cs="Times New Roman"/>
          <w:szCs w:val="24"/>
        </w:rPr>
      </w:pPr>
    </w:p>
    <w:p>
      <w:pPr>
        <w:spacing w:line="360" w:lineRule="auto"/>
        <w:jc w:val="both"/>
        <w:rPr>
          <w:rFonts w:cs="Times New Roman"/>
          <w:szCs w:val="24"/>
        </w:rPr>
      </w:pPr>
      <w:r>
        <w:rPr>
          <w:rFonts w:cs="Times New Roman"/>
          <w:szCs w:val="24"/>
        </w:rPr>
        <w:t xml:space="preserve">Micro Finance Institutions (MFIs), according to </w:t>
      </w:r>
      <w:sdt>
        <w:sdtPr>
          <w:rPr>
            <w:rFonts w:cs="Times New Roman"/>
            <w:szCs w:val="24"/>
          </w:rPr>
          <w:id w:val="-1265380636"/>
        </w:sdtPr>
        <w:sdtEndPr>
          <w:rPr>
            <w:rFonts w:cs="Times New Roman"/>
            <w:szCs w:val="24"/>
          </w:rPr>
        </w:sdtEndPr>
        <w:sdtContent>
          <w:r>
            <w:rPr>
              <w:rFonts w:cs="Times New Roman"/>
              <w:szCs w:val="24"/>
            </w:rPr>
            <w:fldChar w:fldCharType="begin"/>
          </w:r>
          <w:r>
            <w:rPr>
              <w:rFonts w:cs="Times New Roman"/>
              <w:szCs w:val="24"/>
            </w:rPr>
            <w:instrText xml:space="preserve"> CITATION JNC12 \l 1033 </w:instrText>
          </w:r>
          <w:r>
            <w:rPr>
              <w:rFonts w:cs="Times New Roman"/>
              <w:szCs w:val="24"/>
            </w:rPr>
            <w:fldChar w:fldCharType="separate"/>
          </w:r>
          <w:r>
            <w:rPr>
              <w:rFonts w:cs="Times New Roman"/>
              <w:szCs w:val="24"/>
            </w:rPr>
            <w:t>(Zhiri, 2012)</w:t>
          </w:r>
          <w:r>
            <w:rPr>
              <w:rFonts w:cs="Times New Roman"/>
              <w:szCs w:val="24"/>
            </w:rPr>
            <w:fldChar w:fldCharType="end"/>
          </w:r>
        </w:sdtContent>
      </w:sdt>
      <w:r>
        <w:rPr>
          <w:rFonts w:cs="Times New Roman"/>
          <w:szCs w:val="24"/>
        </w:rPr>
        <w:t xml:space="preserve">, are not only a tool for promoting financial services to the poor, but also a tool for stimulating the growth of micro firms by fostering an entrepreneurial culture. Additionally, they have found that the degree of entrepreneurship activity in SMEs is significantly impacted by micro-finance services. However, </w:t>
      </w:r>
      <w:sdt>
        <w:sdtPr>
          <w:rPr>
            <w:rFonts w:cs="Times New Roman"/>
            <w:szCs w:val="24"/>
          </w:rPr>
          <w:id w:val="1279218780"/>
        </w:sdtPr>
        <w:sdtEndPr>
          <w:rPr>
            <w:rFonts w:cs="Times New Roman"/>
            <w:szCs w:val="24"/>
          </w:rPr>
        </w:sdtEndPr>
        <w:sdtContent>
          <w:r>
            <w:rPr>
              <w:rFonts w:cs="Times New Roman"/>
              <w:szCs w:val="24"/>
            </w:rPr>
            <w:fldChar w:fldCharType="begin"/>
          </w:r>
          <w:r>
            <w:rPr>
              <w:rFonts w:cs="Times New Roman"/>
              <w:szCs w:val="24"/>
            </w:rPr>
            <w:instrText xml:space="preserve"> CITATION PRS15 \l 1033 </w:instrText>
          </w:r>
          <w:r>
            <w:rPr>
              <w:rFonts w:cs="Times New Roman"/>
              <w:szCs w:val="24"/>
            </w:rPr>
            <w:fldChar w:fldCharType="separate"/>
          </w:r>
          <w:r>
            <w:rPr>
              <w:rFonts w:cs="Times New Roman"/>
              <w:szCs w:val="24"/>
            </w:rPr>
            <w:t>(Sharma, 2015)</w:t>
          </w:r>
          <w:r>
            <w:rPr>
              <w:rFonts w:cs="Times New Roman"/>
              <w:szCs w:val="24"/>
            </w:rPr>
            <w:fldChar w:fldCharType="end"/>
          </w:r>
        </w:sdtContent>
      </w:sdt>
      <w:r>
        <w:rPr>
          <w:rFonts w:cs="Times New Roman"/>
          <w:szCs w:val="24"/>
        </w:rPr>
        <w:t xml:space="preserve"> claims that the majority of the members are not motivated by entrepreneurship because they haven't received any entrepreneurship development training. But if anyone did obtain training, in his opinion, they did not put it to use by starting micro-businesses. Micro-enterprises are a type of unregistered small business with fewer employees</w:t>
      </w:r>
      <w:sdt>
        <w:sdtPr>
          <w:rPr>
            <w:rFonts w:cs="Times New Roman"/>
            <w:szCs w:val="24"/>
            <w:highlight w:val="yellow"/>
          </w:rPr>
          <w:id w:val="54594913"/>
        </w:sdtPr>
        <w:sdtEndPr>
          <w:rPr>
            <w:rFonts w:cs="Times New Roman"/>
            <w:szCs w:val="24"/>
            <w:highlight w:val="yellow"/>
          </w:rPr>
        </w:sdtEndPr>
        <w:sdtContent>
          <w:r>
            <w:rPr>
              <w:rFonts w:cs="Times New Roman"/>
              <w:szCs w:val="24"/>
              <w:highlight w:val="yellow"/>
            </w:rPr>
            <w:fldChar w:fldCharType="begin"/>
          </w:r>
          <w:r>
            <w:rPr>
              <w:rFonts w:cs="Times New Roman"/>
              <w:szCs w:val="24"/>
              <w:highlight w:val="yellow"/>
            </w:rPr>
            <w:instrText xml:space="preserve">CITATION Mas17 \l 1033 </w:instrText>
          </w:r>
          <w:r>
            <w:rPr>
              <w:rFonts w:cs="Times New Roman"/>
              <w:szCs w:val="24"/>
              <w:highlight w:val="yellow"/>
            </w:rPr>
            <w:fldChar w:fldCharType="separate"/>
          </w:r>
          <w:r>
            <w:rPr>
              <w:rFonts w:cs="Times New Roman"/>
              <w:szCs w:val="24"/>
              <w:highlight w:val="yellow"/>
            </w:rPr>
            <w:t xml:space="preserve"> (Mashigo S., 2017)</w:t>
          </w:r>
          <w:r>
            <w:rPr>
              <w:rFonts w:cs="Times New Roman"/>
              <w:szCs w:val="24"/>
              <w:highlight w:val="yellow"/>
            </w:rPr>
            <w:fldChar w:fldCharType="end"/>
          </w:r>
        </w:sdtContent>
      </w:sdt>
      <w:r>
        <w:rPr>
          <w:rFonts w:cs="Times New Roman"/>
          <w:szCs w:val="24"/>
          <w:highlight w:val="yellow"/>
        </w:rPr>
        <w:t>.</w:t>
      </w:r>
      <w:r>
        <w:rPr>
          <w:rFonts w:cs="Times New Roman"/>
          <w:szCs w:val="24"/>
        </w:rPr>
        <w:t xml:space="preserve"> It comprises cooperatives and non-governmental organizations that are run and owned by a group of people. </w:t>
      </w:r>
    </w:p>
    <w:p>
      <w:pPr>
        <w:spacing w:line="360" w:lineRule="auto"/>
        <w:jc w:val="both"/>
        <w:rPr>
          <w:rFonts w:cs="Times New Roman"/>
          <w:szCs w:val="24"/>
        </w:rPr>
      </w:pPr>
      <w:r>
        <w:rPr>
          <w:rFonts w:cs="Times New Roman"/>
          <w:szCs w:val="24"/>
        </w:rPr>
        <w:t xml:space="preserve">According to the research done by </w:t>
      </w:r>
      <w:sdt>
        <w:sdtPr>
          <w:rPr>
            <w:rFonts w:cs="Times New Roman"/>
            <w:szCs w:val="24"/>
            <w:highlight w:val="yellow"/>
          </w:rPr>
          <w:id w:val="-339080500"/>
        </w:sdtPr>
        <w:sdtEndPr>
          <w:rPr>
            <w:rFonts w:cs="Times New Roman"/>
            <w:szCs w:val="24"/>
            <w:highlight w:val="none"/>
          </w:rPr>
        </w:sdtEndPr>
        <w:sdtContent>
          <w:r>
            <w:rPr>
              <w:rFonts w:cs="Times New Roman"/>
              <w:szCs w:val="24"/>
              <w:highlight w:val="yellow"/>
            </w:rPr>
            <w:fldChar w:fldCharType="begin"/>
          </w:r>
          <w:r>
            <w:rPr>
              <w:rFonts w:cs="Times New Roman"/>
              <w:szCs w:val="24"/>
              <w:highlight w:val="yellow"/>
            </w:rPr>
            <w:instrText xml:space="preserve">CITATION Mas17 \l 1033 </w:instrText>
          </w:r>
          <w:r>
            <w:rPr>
              <w:rFonts w:cs="Times New Roman"/>
              <w:szCs w:val="24"/>
              <w:highlight w:val="yellow"/>
            </w:rPr>
            <w:fldChar w:fldCharType="separate"/>
          </w:r>
          <w:r>
            <w:rPr>
              <w:rFonts w:cs="Times New Roman"/>
              <w:szCs w:val="24"/>
              <w:highlight w:val="yellow"/>
            </w:rPr>
            <w:t>(Mashigo S., 2017)</w:t>
          </w:r>
          <w:r>
            <w:rPr>
              <w:rFonts w:cs="Times New Roman"/>
              <w:szCs w:val="24"/>
              <w:highlight w:val="yellow"/>
            </w:rPr>
            <w:fldChar w:fldCharType="end"/>
          </w:r>
        </w:sdtContent>
      </w:sdt>
      <w:r>
        <w:rPr>
          <w:rFonts w:cs="Times New Roman"/>
          <w:szCs w:val="24"/>
        </w:rPr>
        <w:t xml:space="preserve">, micro-finance has a favorable effect on small businesses. To support these businesses in South Africa, they have established the Small Enterprise Foundation (SEF), which offers micro-loans, micro-credit programs, and alternative forms of credit. When a micro-business is developed, its sales, turnovers, employee count, and output all rise. Supporting micro-finance through the provision of micro-loans and consulting services can help bring about the desired transformation </w:t>
      </w:r>
      <w:sdt>
        <w:sdtPr>
          <w:rPr>
            <w:rFonts w:cs="Times New Roman"/>
            <w:szCs w:val="24"/>
          </w:rPr>
          <w:id w:val="1827629562"/>
        </w:sdtPr>
        <w:sdtEndPr>
          <w:rPr>
            <w:rFonts w:cs="Times New Roman"/>
            <w:szCs w:val="24"/>
          </w:rPr>
        </w:sdtEndPr>
        <w:sdtContent>
          <w:r>
            <w:rPr>
              <w:rFonts w:cs="Times New Roman"/>
              <w:szCs w:val="24"/>
            </w:rPr>
            <w:fldChar w:fldCharType="begin"/>
          </w:r>
          <w:r>
            <w:rPr>
              <w:rFonts w:cs="Times New Roman"/>
              <w:szCs w:val="24"/>
            </w:rPr>
            <w:instrText xml:space="preserve"> CITATION WRa \l 1033 </w:instrText>
          </w:r>
          <w:r>
            <w:rPr>
              <w:rFonts w:cs="Times New Roman"/>
              <w:szCs w:val="24"/>
            </w:rPr>
            <w:fldChar w:fldCharType="separate"/>
          </w:r>
          <w:r>
            <w:rPr>
              <w:rFonts w:cs="Times New Roman"/>
              <w:szCs w:val="24"/>
            </w:rPr>
            <w:t>(W.Rajapakshe)</w:t>
          </w:r>
          <w:r>
            <w:rPr>
              <w:rFonts w:cs="Times New Roman"/>
              <w:szCs w:val="24"/>
            </w:rPr>
            <w:fldChar w:fldCharType="end"/>
          </w:r>
        </w:sdtContent>
      </w:sdt>
      <w:r>
        <w:rPr>
          <w:rFonts w:cs="Times New Roman"/>
          <w:szCs w:val="24"/>
        </w:rPr>
        <w:t xml:space="preserve">. In industrialized countries' economies, the function of micro-finance institutions in promoting micro-businesses is crucial </w:t>
      </w:r>
      <w:sdt>
        <w:sdtPr>
          <w:rPr>
            <w:rFonts w:cs="Times New Roman"/>
            <w:szCs w:val="24"/>
          </w:rPr>
          <w:id w:val="1224641157"/>
        </w:sdtPr>
        <w:sdtEndPr>
          <w:rPr>
            <w:rFonts w:cs="Times New Roman"/>
            <w:szCs w:val="24"/>
          </w:rPr>
        </w:sdtEndPr>
        <w:sdtContent>
          <w:r>
            <w:rPr>
              <w:rFonts w:cs="Times New Roman"/>
              <w:szCs w:val="24"/>
            </w:rPr>
            <w:fldChar w:fldCharType="begin"/>
          </w:r>
          <w:r>
            <w:rPr>
              <w:rFonts w:cs="Times New Roman"/>
              <w:szCs w:val="24"/>
            </w:rPr>
            <w:instrText xml:space="preserve"> CITATION IRo15 \l 1033 </w:instrText>
          </w:r>
          <w:r>
            <w:rPr>
              <w:rFonts w:cs="Times New Roman"/>
              <w:szCs w:val="24"/>
            </w:rPr>
            <w:fldChar w:fldCharType="separate"/>
          </w:r>
          <w:r>
            <w:rPr>
              <w:rFonts w:cs="Times New Roman"/>
              <w:szCs w:val="24"/>
            </w:rPr>
            <w:t>(I. Rotich, 2015)</w:t>
          </w:r>
          <w:r>
            <w:rPr>
              <w:rFonts w:cs="Times New Roman"/>
              <w:szCs w:val="24"/>
            </w:rPr>
            <w:fldChar w:fldCharType="end"/>
          </w:r>
        </w:sdtContent>
      </w:sdt>
    </w:p>
    <w:p>
      <w:pPr>
        <w:spacing w:line="360" w:lineRule="auto"/>
        <w:jc w:val="both"/>
        <w:rPr>
          <w:rFonts w:cs="Times New Roman"/>
          <w:szCs w:val="24"/>
        </w:rPr>
      </w:pPr>
    </w:p>
    <w:p>
      <w:pPr>
        <w:pStyle w:val="3"/>
        <w:numPr>
          <w:ilvl w:val="0"/>
          <w:numId w:val="0"/>
        </w:numPr>
        <w:spacing w:line="360" w:lineRule="auto"/>
        <w:ind w:left="720" w:hanging="720"/>
        <w:rPr>
          <w:rFonts w:cs="Times New Roman"/>
        </w:rPr>
      </w:pPr>
      <w:bookmarkStart w:id="22" w:name="_Toc125922262"/>
      <w:bookmarkStart w:id="23" w:name="_Toc6826_WPSOffice_Level1"/>
      <w:bookmarkStart w:id="24" w:name="_Toc92489896"/>
      <w:bookmarkStart w:id="25" w:name="_Toc141558981"/>
      <w:r>
        <w:rPr>
          <w:rFonts w:cs="Times New Roman"/>
        </w:rPr>
        <w:t>Small and Medium Scale Enterprises (SMEs)</w:t>
      </w:r>
      <w:bookmarkEnd w:id="22"/>
      <w:bookmarkEnd w:id="23"/>
      <w:bookmarkEnd w:id="24"/>
      <w:bookmarkEnd w:id="25"/>
    </w:p>
    <w:p>
      <w:pPr>
        <w:spacing w:line="360" w:lineRule="auto"/>
        <w:rPr>
          <w:rFonts w:cs="Times New Roman"/>
          <w:szCs w:val="24"/>
        </w:rPr>
      </w:pPr>
    </w:p>
    <w:p>
      <w:pPr>
        <w:spacing w:line="360" w:lineRule="auto"/>
        <w:jc w:val="both"/>
        <w:rPr>
          <w:rFonts w:cs="Times New Roman"/>
          <w:szCs w:val="24"/>
        </w:rPr>
      </w:pPr>
      <w:r>
        <w:rPr>
          <w:rFonts w:cs="Times New Roman"/>
          <w:szCs w:val="24"/>
        </w:rPr>
        <w:t xml:space="preserve">SMEs are organizations that operate in both the official and informal sectors, may fall under the farm or non-farm category, and have less than fifty employees, according to </w:t>
      </w:r>
      <w:sdt>
        <w:sdtPr>
          <w:rPr>
            <w:rFonts w:cs="Times New Roman"/>
            <w:szCs w:val="24"/>
          </w:rPr>
          <w:id w:val="771357577"/>
        </w:sdtPr>
        <w:sdtEndPr>
          <w:rPr>
            <w:rFonts w:cs="Times New Roman"/>
            <w:szCs w:val="24"/>
          </w:rPr>
        </w:sdtEndPr>
        <w:sdtContent>
          <w:r>
            <w:rPr>
              <w:rFonts w:cs="Times New Roman"/>
              <w:szCs w:val="24"/>
            </w:rPr>
            <w:fldChar w:fldCharType="begin"/>
          </w:r>
          <w:r>
            <w:rPr>
              <w:rFonts w:cs="Times New Roman"/>
              <w:szCs w:val="24"/>
            </w:rPr>
            <w:instrText xml:space="preserve"> CITATION IRo15 \l 1033 </w:instrText>
          </w:r>
          <w:r>
            <w:rPr>
              <w:rFonts w:cs="Times New Roman"/>
              <w:szCs w:val="24"/>
            </w:rPr>
            <w:fldChar w:fldCharType="separate"/>
          </w:r>
          <w:r>
            <w:rPr>
              <w:rFonts w:cs="Times New Roman"/>
              <w:szCs w:val="24"/>
            </w:rPr>
            <w:t>(I. Rotich, 2015)</w:t>
          </w:r>
          <w:r>
            <w:rPr>
              <w:rFonts w:cs="Times New Roman"/>
              <w:szCs w:val="24"/>
            </w:rPr>
            <w:fldChar w:fldCharType="end"/>
          </w:r>
        </w:sdtContent>
      </w:sdt>
      <w:r>
        <w:rPr>
          <w:rFonts w:cs="Times New Roman"/>
          <w:szCs w:val="24"/>
        </w:rPr>
        <w:t>. They contend that SMSs are crucial to a country's development since they create numerous job opportunities and boost GDP. However,</w:t>
      </w:r>
      <w:sdt>
        <w:sdtPr>
          <w:rPr>
            <w:rFonts w:cs="Times New Roman"/>
            <w:szCs w:val="24"/>
          </w:rPr>
          <w:id w:val="448896059"/>
        </w:sdtPr>
        <w:sdtEndPr>
          <w:rPr>
            <w:rFonts w:cs="Times New Roman"/>
            <w:szCs w:val="24"/>
          </w:rPr>
        </w:sdtEndPr>
        <w:sdtContent>
          <w:r>
            <w:rPr>
              <w:rFonts w:cs="Times New Roman"/>
              <w:szCs w:val="24"/>
              <w:highlight w:val="yellow"/>
            </w:rPr>
            <w:fldChar w:fldCharType="begin"/>
          </w:r>
          <w:r>
            <w:rPr>
              <w:rFonts w:cs="Times New Roman"/>
              <w:szCs w:val="24"/>
              <w:highlight w:val="yellow"/>
            </w:rPr>
            <w:instrText xml:space="preserve">CITATION KRa19 \l 1033 </w:instrText>
          </w:r>
          <w:r>
            <w:rPr>
              <w:rFonts w:cs="Times New Roman"/>
              <w:szCs w:val="24"/>
              <w:highlight w:val="yellow"/>
            </w:rPr>
            <w:fldChar w:fldCharType="separate"/>
          </w:r>
          <w:r>
            <w:rPr>
              <w:rFonts w:cs="Times New Roman"/>
              <w:szCs w:val="24"/>
              <w:highlight w:val="yellow"/>
            </w:rPr>
            <w:t xml:space="preserve"> (Rathnayake K., 2019)</w:t>
          </w:r>
          <w:r>
            <w:rPr>
              <w:rFonts w:cs="Times New Roman"/>
              <w:szCs w:val="24"/>
              <w:highlight w:val="yellow"/>
            </w:rPr>
            <w:fldChar w:fldCharType="end"/>
          </w:r>
        </w:sdtContent>
      </w:sdt>
      <w:r>
        <w:rPr>
          <w:rFonts w:cs="Times New Roman"/>
          <w:szCs w:val="24"/>
        </w:rPr>
        <w:t xml:space="preserve"> define SME as businesses with less than 50 people and a capital investment of less than $5 million. In emerging economies, small and medium-sized enterprises (SMEs) are typically seen as the driver of economic growth and equitable development.</w:t>
      </w:r>
    </w:p>
    <w:p>
      <w:pPr>
        <w:spacing w:line="360" w:lineRule="auto"/>
        <w:jc w:val="both"/>
        <w:rPr>
          <w:rFonts w:cs="Times New Roman"/>
          <w:szCs w:val="24"/>
        </w:rPr>
      </w:pPr>
    </w:p>
    <w:p>
      <w:pPr>
        <w:spacing w:line="360" w:lineRule="auto"/>
        <w:jc w:val="both"/>
        <w:rPr>
          <w:rFonts w:cs="Times New Roman"/>
          <w:szCs w:val="24"/>
        </w:rPr>
      </w:pPr>
      <w:r>
        <w:rPr>
          <w:rFonts w:cs="Times New Roman"/>
          <w:szCs w:val="24"/>
        </w:rPr>
        <w:t xml:space="preserve">A significant obstacle to the SME sector's rapid development is a lack of both debt and equity finance. For SMEs to succeed in their efforts to increase their productive capacity, compete, generate jobs, and aid in the reduction of poverty in developing nations, access to capital has been identified as a crucial factor. Small businesses, particularly those in Africa, find it difficult to comply with the requirements imposed by financial institutions, which view SMEs as a risk due to inadequate guarantees and a lack of knowledge about their capacity to repay loans. Without financing, SMEs cannot develop to compete on international markets, acquire new technology, or even establish business relationships with larger companies (UNCTAD, 2002). Small and medium-sized businesses (SMEs) have recently attracted a lot of study interest over their futures. Small and medium-sized businesses (SME's) make up more than 75% of all business entities in Sri Lanka, and they account for about 52% of the country's GDP </w:t>
      </w:r>
      <w:sdt>
        <w:sdtPr>
          <w:rPr>
            <w:rFonts w:cs="Times New Roman"/>
            <w:szCs w:val="24"/>
          </w:rPr>
          <w:id w:val="-826047094"/>
        </w:sdtPr>
        <w:sdtEndPr>
          <w:rPr>
            <w:rFonts w:cs="Times New Roman"/>
            <w:szCs w:val="24"/>
          </w:rPr>
        </w:sdtEndPr>
        <w:sdtContent>
          <w:r>
            <w:rPr>
              <w:rFonts w:cs="Times New Roman"/>
              <w:szCs w:val="24"/>
            </w:rPr>
            <w:fldChar w:fldCharType="begin"/>
          </w:r>
          <w:r>
            <w:rPr>
              <w:rFonts w:cs="Times New Roman"/>
              <w:szCs w:val="24"/>
            </w:rPr>
            <w:instrText xml:space="preserve"> CITATION MRR19 \l 1033 </w:instrText>
          </w:r>
          <w:r>
            <w:rPr>
              <w:rFonts w:cs="Times New Roman"/>
              <w:szCs w:val="24"/>
            </w:rPr>
            <w:fldChar w:fldCharType="separate"/>
          </w:r>
          <w:r>
            <w:rPr>
              <w:rFonts w:cs="Times New Roman"/>
              <w:szCs w:val="24"/>
            </w:rPr>
            <w:t>(Dissanayake, 2019)</w:t>
          </w:r>
          <w:r>
            <w:rPr>
              <w:rFonts w:cs="Times New Roman"/>
              <w:szCs w:val="24"/>
            </w:rPr>
            <w:fldChar w:fldCharType="end"/>
          </w:r>
        </w:sdtContent>
      </w:sdt>
      <w:r>
        <w:rPr>
          <w:rFonts w:cs="Times New Roman"/>
          <w:szCs w:val="24"/>
        </w:rPr>
        <w:t xml:space="preserve">. In Sri Lanka, the majority of small and medium-sized enterprises (SMEs) operate as sole proprietorships in the sectors of agriculture, industry, and services </w:t>
      </w:r>
      <w:sdt>
        <w:sdtPr>
          <w:rPr>
            <w:rFonts w:cs="Times New Roman"/>
            <w:szCs w:val="24"/>
          </w:rPr>
          <w:id w:val="-1024793040"/>
        </w:sdtPr>
        <w:sdtEndPr>
          <w:rPr>
            <w:rFonts w:cs="Times New Roman"/>
            <w:szCs w:val="24"/>
          </w:rPr>
        </w:sdtEndPr>
        <w:sdtContent>
          <w:r>
            <w:rPr>
              <w:rFonts w:cs="Times New Roman"/>
              <w:szCs w:val="24"/>
            </w:rPr>
            <w:fldChar w:fldCharType="begin"/>
          </w:r>
          <w:r>
            <w:rPr>
              <w:rFonts w:cs="Times New Roman"/>
              <w:szCs w:val="24"/>
            </w:rPr>
            <w:instrText xml:space="preserve"> CITATION GKu16 \l 1033 </w:instrText>
          </w:r>
          <w:r>
            <w:rPr>
              <w:rFonts w:cs="Times New Roman"/>
              <w:szCs w:val="24"/>
            </w:rPr>
            <w:fldChar w:fldCharType="separate"/>
          </w:r>
          <w:r>
            <w:rPr>
              <w:rFonts w:cs="Times New Roman"/>
              <w:szCs w:val="24"/>
            </w:rPr>
            <w:t>(Azeez, 2016)</w:t>
          </w:r>
          <w:r>
            <w:rPr>
              <w:rFonts w:cs="Times New Roman"/>
              <w:szCs w:val="24"/>
            </w:rPr>
            <w:fldChar w:fldCharType="end"/>
          </w:r>
        </w:sdtContent>
      </w:sdt>
      <w:r>
        <w:rPr>
          <w:rFonts w:cs="Times New Roman"/>
          <w:szCs w:val="24"/>
        </w:rPr>
        <w:t xml:space="preserve">. When the Sri Lankan situation is examined in more detail, it becomes clear that such SMEs are crucial to Sri Lanka's efforts to build sustainability. They make significant contributions to the nation's GDP, regional development, employment, and resource use </w:t>
      </w:r>
      <w:sdt>
        <w:sdtPr>
          <w:rPr>
            <w:rFonts w:cs="Times New Roman"/>
            <w:szCs w:val="24"/>
            <w:highlight w:val="yellow"/>
          </w:rPr>
          <w:id w:val="-519086306"/>
        </w:sdtPr>
        <w:sdtEndPr>
          <w:rPr>
            <w:rFonts w:cs="Times New Roman"/>
            <w:szCs w:val="24"/>
            <w:highlight w:val="none"/>
          </w:rPr>
        </w:sdtEndPr>
        <w:sdtContent>
          <w:r>
            <w:rPr>
              <w:rFonts w:cs="Times New Roman"/>
              <w:szCs w:val="24"/>
              <w:highlight w:val="yellow"/>
            </w:rPr>
            <w:fldChar w:fldCharType="begin"/>
          </w:r>
          <w:r>
            <w:rPr>
              <w:rFonts w:cs="Times New Roman"/>
              <w:szCs w:val="24"/>
              <w:highlight w:val="yellow"/>
            </w:rPr>
            <w:instrText xml:space="preserve">CITATION KRa19 \l 1033 </w:instrText>
          </w:r>
          <w:r>
            <w:rPr>
              <w:rFonts w:cs="Times New Roman"/>
              <w:szCs w:val="24"/>
              <w:highlight w:val="yellow"/>
            </w:rPr>
            <w:fldChar w:fldCharType="separate"/>
          </w:r>
          <w:r>
            <w:rPr>
              <w:rFonts w:cs="Times New Roman"/>
              <w:szCs w:val="24"/>
              <w:highlight w:val="yellow"/>
            </w:rPr>
            <w:t>(Rathnayake K., 2019)</w:t>
          </w:r>
          <w:r>
            <w:rPr>
              <w:rFonts w:cs="Times New Roman"/>
              <w:szCs w:val="24"/>
              <w:highlight w:val="yellow"/>
            </w:rPr>
            <w:fldChar w:fldCharType="end"/>
          </w:r>
        </w:sdtContent>
      </w:sdt>
      <w:bookmarkStart w:id="26" w:name="_Toc92489897"/>
    </w:p>
    <w:p>
      <w:pPr>
        <w:spacing w:line="360" w:lineRule="auto"/>
        <w:jc w:val="both"/>
        <w:rPr>
          <w:rFonts w:cs="Times New Roman"/>
          <w:szCs w:val="24"/>
        </w:rPr>
      </w:pPr>
    </w:p>
    <w:p>
      <w:pPr>
        <w:pStyle w:val="3"/>
        <w:numPr>
          <w:ilvl w:val="0"/>
          <w:numId w:val="0"/>
        </w:numPr>
        <w:spacing w:line="360" w:lineRule="auto"/>
        <w:ind w:left="720" w:hanging="720"/>
        <w:rPr>
          <w:rFonts w:cs="Times New Roman"/>
        </w:rPr>
      </w:pPr>
      <w:bookmarkStart w:id="27" w:name="_Toc141558982"/>
      <w:bookmarkStart w:id="28" w:name="_Toc3294_WPSOffice_Level1"/>
      <w:bookmarkStart w:id="29" w:name="_Toc125922263"/>
      <w:r>
        <w:rPr>
          <w:rFonts w:cs="Times New Roman"/>
        </w:rPr>
        <w:t>Micro-finance and Performance of MSMEs</w:t>
      </w:r>
      <w:bookmarkEnd w:id="26"/>
      <w:bookmarkEnd w:id="27"/>
      <w:bookmarkEnd w:id="28"/>
      <w:bookmarkEnd w:id="29"/>
    </w:p>
    <w:p>
      <w:pPr>
        <w:spacing w:line="360" w:lineRule="auto"/>
        <w:rPr>
          <w:rFonts w:cs="Times New Roman"/>
          <w:szCs w:val="24"/>
        </w:rPr>
      </w:pPr>
    </w:p>
    <w:p>
      <w:pPr>
        <w:spacing w:line="360" w:lineRule="auto"/>
        <w:jc w:val="both"/>
        <w:rPr>
          <w:rFonts w:cs="Times New Roman"/>
          <w:szCs w:val="24"/>
        </w:rPr>
      </w:pPr>
      <w:r>
        <w:rPr>
          <w:rFonts w:cs="Times New Roman"/>
          <w:szCs w:val="24"/>
        </w:rPr>
        <w:t xml:space="preserve">There is a different kind of definitions on MSME. As per the Department of Small Industries (DSI) as businesses with less than 50 people and a capital investment of less than $5 million (US$ 52500). </w:t>
      </w:r>
      <w:sdt>
        <w:sdtPr>
          <w:rPr>
            <w:rFonts w:cs="Times New Roman"/>
            <w:szCs w:val="24"/>
          </w:rPr>
          <w:id w:val="783775712"/>
        </w:sdtPr>
        <w:sdtEndPr>
          <w:rPr>
            <w:rFonts w:cs="Times New Roman"/>
            <w:szCs w:val="24"/>
          </w:rPr>
        </w:sdtEndPr>
        <w:sdtContent>
          <w:r>
            <w:rPr>
              <w:rFonts w:cs="Times New Roman"/>
              <w:szCs w:val="24"/>
            </w:rPr>
            <w:fldChar w:fldCharType="begin"/>
          </w:r>
          <w:r>
            <w:rPr>
              <w:rFonts w:cs="Times New Roman"/>
              <w:szCs w:val="24"/>
            </w:rPr>
            <w:instrText xml:space="preserve"> CITATION Pon00 \l 1033 </w:instrText>
          </w:r>
          <w:r>
            <w:rPr>
              <w:rFonts w:cs="Times New Roman"/>
              <w:szCs w:val="24"/>
            </w:rPr>
            <w:fldChar w:fldCharType="separate"/>
          </w:r>
          <w:r>
            <w:rPr>
              <w:rFonts w:cs="Times New Roman"/>
              <w:szCs w:val="24"/>
            </w:rPr>
            <w:t>(Ponnamperuma, 2000)</w:t>
          </w:r>
          <w:r>
            <w:rPr>
              <w:rFonts w:cs="Times New Roman"/>
              <w:szCs w:val="24"/>
            </w:rPr>
            <w:fldChar w:fldCharType="end"/>
          </w:r>
        </w:sdtContent>
      </w:sdt>
      <w:r>
        <w:rPr>
          <w:rFonts w:cs="Times New Roman"/>
          <w:szCs w:val="24"/>
        </w:rPr>
        <w:t xml:space="preserve">. The Sri Lanka Export Development Board (SLEDB) designated the export-oriented enterprise and the financial institution defined a SME as those enterprises whose investment in fixed assets at original book value, excluding land and buildings, do not exceed Rs 8 million (US$ 84000). </w:t>
      </w:r>
      <w:sdt>
        <w:sdtPr>
          <w:rPr>
            <w:rFonts w:cs="Times New Roman"/>
            <w:szCs w:val="24"/>
          </w:rPr>
          <w:id w:val="-1429267347"/>
        </w:sdtPr>
        <w:sdtEndPr>
          <w:rPr>
            <w:rFonts w:cs="Times New Roman"/>
            <w:szCs w:val="24"/>
          </w:rPr>
        </w:sdtEndPr>
        <w:sdtContent>
          <w:r>
            <w:rPr>
              <w:rFonts w:cs="Times New Roman"/>
              <w:szCs w:val="24"/>
            </w:rPr>
            <w:fldChar w:fldCharType="begin"/>
          </w:r>
          <w:r>
            <w:rPr>
              <w:rFonts w:cs="Times New Roman"/>
              <w:szCs w:val="24"/>
            </w:rPr>
            <w:instrText xml:space="preserve"> CITATION RMH01 \l 1033 </w:instrText>
          </w:r>
          <w:r>
            <w:rPr>
              <w:rFonts w:cs="Times New Roman"/>
              <w:szCs w:val="24"/>
            </w:rPr>
            <w:fldChar w:fldCharType="separate"/>
          </w:r>
          <w:r>
            <w:rPr>
              <w:rFonts w:cs="Times New Roman"/>
              <w:szCs w:val="24"/>
            </w:rPr>
            <w:t>(Hewaliyanage, 2001)</w:t>
          </w:r>
          <w:r>
            <w:rPr>
              <w:rFonts w:cs="Times New Roman"/>
              <w:szCs w:val="24"/>
            </w:rPr>
            <w:fldChar w:fldCharType="end"/>
          </w:r>
        </w:sdtContent>
      </w:sdt>
      <w:r>
        <w:rPr>
          <w:rFonts w:cs="Times New Roman"/>
          <w:szCs w:val="24"/>
        </w:rPr>
        <w:t xml:space="preserve">. In this sense, a firm's growth can be characterized as an increase in size, the appearance of other quantifiable things, or a series of modifications or advancements. Firm size is the end outcome of sustained firm growth; yet, firm growth is a process, whereas firm size is a condition </w:t>
      </w:r>
      <w:sdt>
        <w:sdtPr>
          <w:rPr>
            <w:rFonts w:cs="Times New Roman"/>
            <w:szCs w:val="24"/>
          </w:rPr>
          <w:id w:val="1444964496"/>
        </w:sdtPr>
        <w:sdtEndPr>
          <w:rPr>
            <w:rFonts w:cs="Times New Roman"/>
            <w:szCs w:val="24"/>
          </w:rPr>
        </w:sdtEndPr>
        <w:sdtContent>
          <w:r>
            <w:rPr>
              <w:rFonts w:cs="Times New Roman"/>
              <w:szCs w:val="24"/>
            </w:rPr>
            <w:fldChar w:fldCharType="begin"/>
          </w:r>
          <w:r>
            <w:rPr>
              <w:rFonts w:cs="Times New Roman"/>
              <w:szCs w:val="24"/>
            </w:rPr>
            <w:instrText xml:space="preserve"> CITATION Sch13 \l 1033 </w:instrText>
          </w:r>
          <w:r>
            <w:rPr>
              <w:rFonts w:cs="Times New Roman"/>
              <w:szCs w:val="24"/>
            </w:rPr>
            <w:fldChar w:fldCharType="separate"/>
          </w:r>
          <w:r>
            <w:rPr>
              <w:rFonts w:cs="Times New Roman"/>
              <w:szCs w:val="24"/>
            </w:rPr>
            <w:t>(Schicks, 2013)</w:t>
          </w:r>
          <w:r>
            <w:rPr>
              <w:rFonts w:cs="Times New Roman"/>
              <w:szCs w:val="24"/>
            </w:rPr>
            <w:fldChar w:fldCharType="end"/>
          </w:r>
        </w:sdtContent>
      </w:sdt>
      <w:r>
        <w:rPr>
          <w:rFonts w:cs="Times New Roman"/>
          <w:szCs w:val="24"/>
        </w:rPr>
        <w:t xml:space="preserve">. The availability of finance, manpower, competent management, and attractive investment prospects can all affect a company's ability to grow. The availability of resources to the firm is the determining element for growth </w:t>
      </w:r>
      <w:sdt>
        <w:sdtPr>
          <w:rPr>
            <w:rFonts w:cs="Times New Roman"/>
            <w:szCs w:val="24"/>
          </w:rPr>
          <w:id w:val="2019895195"/>
        </w:sdtPr>
        <w:sdtEndPr>
          <w:rPr>
            <w:rFonts w:cs="Times New Roman"/>
            <w:szCs w:val="24"/>
          </w:rPr>
        </w:sdtEndPr>
        <w:sdtContent>
          <w:r>
            <w:rPr>
              <w:rFonts w:cs="Times New Roman"/>
              <w:szCs w:val="24"/>
            </w:rPr>
            <w:fldChar w:fldCharType="begin"/>
          </w:r>
          <w:r>
            <w:rPr>
              <w:rFonts w:cs="Times New Roman"/>
              <w:szCs w:val="24"/>
            </w:rPr>
            <w:instrText xml:space="preserve"> CITATION Mam02 \l 1033 </w:instrText>
          </w:r>
          <w:r>
            <w:rPr>
              <w:rFonts w:cs="Times New Roman"/>
              <w:szCs w:val="24"/>
            </w:rPr>
            <w:fldChar w:fldCharType="separate"/>
          </w:r>
          <w:r>
            <w:rPr>
              <w:rFonts w:cs="Times New Roman"/>
              <w:szCs w:val="24"/>
            </w:rPr>
            <w:t>(Mambula, 2002)</w:t>
          </w:r>
          <w:r>
            <w:rPr>
              <w:rFonts w:cs="Times New Roman"/>
              <w:szCs w:val="24"/>
            </w:rPr>
            <w:fldChar w:fldCharType="end"/>
          </w:r>
          <w:r>
            <w:rPr>
              <w:rFonts w:cs="Times New Roman"/>
              <w:szCs w:val="24"/>
            </w:rPr>
            <w:t>.</w:t>
          </w:r>
        </w:sdtContent>
      </w:sdt>
    </w:p>
    <w:p>
      <w:pPr>
        <w:spacing w:line="360" w:lineRule="auto"/>
        <w:rPr>
          <w:rFonts w:cs="Times New Roman"/>
          <w:szCs w:val="24"/>
        </w:rPr>
      </w:pPr>
      <w:bookmarkStart w:id="30" w:name="_Toc125922283"/>
    </w:p>
    <w:p>
      <w:pPr>
        <w:pStyle w:val="3"/>
        <w:numPr>
          <w:ilvl w:val="0"/>
          <w:numId w:val="0"/>
        </w:numPr>
        <w:spacing w:line="360" w:lineRule="auto"/>
        <w:rPr>
          <w:rFonts w:cs="Times New Roman"/>
        </w:rPr>
      </w:pPr>
      <w:bookmarkStart w:id="31" w:name="_Toc141558983"/>
      <w:bookmarkStart w:id="32" w:name="_Toc25558_WPSOffice_Level1"/>
      <w:r>
        <w:rPr>
          <w:rFonts w:cs="Times New Roman"/>
        </w:rPr>
        <w:t>Hypotheses Development</w:t>
      </w:r>
      <w:bookmarkEnd w:id="30"/>
      <w:bookmarkEnd w:id="31"/>
      <w:bookmarkEnd w:id="32"/>
    </w:p>
    <w:p>
      <w:pPr>
        <w:spacing w:line="360" w:lineRule="auto"/>
        <w:rPr>
          <w:rFonts w:cs="Times New Roman"/>
          <w:szCs w:val="24"/>
        </w:rPr>
      </w:pPr>
    </w:p>
    <w:p>
      <w:pPr>
        <w:spacing w:line="360" w:lineRule="auto"/>
        <w:jc w:val="both"/>
        <w:rPr>
          <w:rFonts w:cs="Times New Roman"/>
          <w:szCs w:val="24"/>
        </w:rPr>
      </w:pPr>
      <w:r>
        <w:rPr>
          <w:rFonts w:cs="Times New Roman"/>
          <w:szCs w:val="24"/>
        </w:rPr>
        <w:t>The hypothesis developed for the study are as follows,</w:t>
      </w:r>
    </w:p>
    <w:p>
      <w:pPr>
        <w:spacing w:line="360" w:lineRule="auto"/>
        <w:jc w:val="both"/>
        <w:rPr>
          <w:rFonts w:cs="Times New Roman"/>
          <w:szCs w:val="24"/>
        </w:rPr>
      </w:pPr>
      <w:r>
        <w:rPr>
          <w:rFonts w:cs="Times New Roman"/>
          <w:szCs w:val="24"/>
        </w:rPr>
        <w:t>H1 - There is an Impact between Micro credit and Growth of MSMEs in Service Sector in operating Colombo district</w:t>
      </w:r>
    </w:p>
    <w:p>
      <w:pPr>
        <w:spacing w:line="360" w:lineRule="auto"/>
        <w:jc w:val="both"/>
        <w:rPr>
          <w:rFonts w:cs="Times New Roman"/>
          <w:szCs w:val="24"/>
        </w:rPr>
      </w:pPr>
      <w:r>
        <w:rPr>
          <w:rFonts w:cs="Times New Roman"/>
          <w:szCs w:val="24"/>
        </w:rPr>
        <w:t>H2 - There is an Impact between Micro savings and Growth of MSMEs in Service Sector operating in Colombo district</w:t>
      </w:r>
    </w:p>
    <w:p>
      <w:pPr>
        <w:spacing w:line="360" w:lineRule="auto"/>
        <w:jc w:val="both"/>
        <w:rPr>
          <w:rFonts w:cs="Times New Roman"/>
          <w:szCs w:val="24"/>
        </w:rPr>
      </w:pPr>
      <w:r>
        <w:rPr>
          <w:rFonts w:cs="Times New Roman"/>
          <w:szCs w:val="24"/>
        </w:rPr>
        <w:t>H3 - There is an Impact between Micro insurance and Growth of MSMEs in Service Sector operating in Colombo district.</w:t>
      </w:r>
    </w:p>
    <w:p>
      <w:pPr>
        <w:pStyle w:val="2"/>
        <w:numPr>
          <w:ilvl w:val="0"/>
          <w:numId w:val="0"/>
        </w:numPr>
        <w:spacing w:line="360" w:lineRule="auto"/>
        <w:ind w:left="360" w:hanging="360"/>
        <w:rPr>
          <w:rFonts w:cs="Times New Roman"/>
          <w:sz w:val="28"/>
          <w:szCs w:val="28"/>
          <w:lang w:val="en-GB"/>
        </w:rPr>
      </w:pPr>
      <w:bookmarkStart w:id="33" w:name="_Toc141558984"/>
      <w:bookmarkStart w:id="34" w:name="_Toc125922274"/>
      <w:bookmarkStart w:id="35" w:name="_Toc14439_WPSOffice_Level1"/>
    </w:p>
    <w:p>
      <w:pPr>
        <w:pStyle w:val="2"/>
        <w:numPr>
          <w:ilvl w:val="0"/>
          <w:numId w:val="0"/>
        </w:numPr>
        <w:spacing w:line="360" w:lineRule="auto"/>
        <w:ind w:left="360" w:hanging="360"/>
        <w:rPr>
          <w:rFonts w:cs="Times New Roman"/>
          <w:sz w:val="28"/>
          <w:szCs w:val="28"/>
        </w:rPr>
      </w:pPr>
      <w:r>
        <w:rPr>
          <w:rFonts w:cs="Times New Roman"/>
          <w:sz w:val="28"/>
          <w:szCs w:val="28"/>
          <w:lang w:val="en-GB"/>
        </w:rPr>
        <w:t xml:space="preserve">Research </w:t>
      </w:r>
      <w:r>
        <w:rPr>
          <w:rFonts w:cs="Times New Roman"/>
          <w:sz w:val="28"/>
          <w:szCs w:val="28"/>
        </w:rPr>
        <w:t>Methodology</w:t>
      </w:r>
      <w:bookmarkEnd w:id="33"/>
      <w:bookmarkEnd w:id="34"/>
      <w:bookmarkEnd w:id="35"/>
    </w:p>
    <w:p>
      <w:pPr>
        <w:spacing w:line="360" w:lineRule="auto"/>
        <w:jc w:val="both"/>
        <w:rPr>
          <w:rFonts w:cs="Times New Roman"/>
          <w:szCs w:val="24"/>
        </w:rPr>
      </w:pPr>
      <w:r>
        <w:rPr>
          <w:rFonts w:cs="Times New Roman"/>
          <w:szCs w:val="24"/>
        </w:rPr>
        <w:t>The researcher developed the conceptual framework by reviewing the research literature. Micro credit, Micro saving and Micro Insurance are independent variables in the conceptual model that the researcher established, and Growth of MSMEs is the dependent variable.</w:t>
      </w:r>
    </w:p>
    <w:p>
      <w:pPr>
        <w:spacing w:line="360" w:lineRule="auto"/>
        <w:jc w:val="both"/>
        <w:rPr>
          <w:rFonts w:cs="Times New Roman"/>
          <w:szCs w:val="24"/>
        </w:rPr>
      </w:pPr>
      <w:r>
        <w:rPr>
          <w:rFonts w:cs="Times New Roman"/>
          <w:szCs w:val="24"/>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220980</wp:posOffset>
                </wp:positionV>
                <wp:extent cx="5029200" cy="1771650"/>
                <wp:effectExtent l="0" t="0" r="19050" b="19050"/>
                <wp:wrapNone/>
                <wp:docPr id="1" name="Text Box 1"/>
                <wp:cNvGraphicFramePr/>
                <a:graphic xmlns:a="http://schemas.openxmlformats.org/drawingml/2006/main">
                  <a:graphicData uri="http://schemas.microsoft.com/office/word/2010/wordprocessingShape">
                    <wps:wsp>
                      <wps:cNvSpPr txBox="1"/>
                      <wps:spPr>
                        <a:xfrm>
                          <a:off x="0" y="0"/>
                          <a:ext cx="5029200" cy="1771650"/>
                        </a:xfrm>
                        <a:prstGeom prst="rect">
                          <a:avLst/>
                        </a:prstGeom>
                        <a:solidFill>
                          <a:schemeClr val="lt1"/>
                        </a:solidFill>
                        <a:ln w="1270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
                              <w:rPr>
                                <w:rFonts w:cs="Times New Roman"/>
                                <w:b/>
                                <w:i/>
                                <w:sz w:val="28"/>
                                <w:szCs w:val="28"/>
                              </w:rPr>
                              <w:t xml:space="preserve">        Independent Variables</w:t>
                            </w:r>
                            <w:r>
                              <w:rPr>
                                <w:rFonts w:cs="Times New Roman"/>
                                <w:sz w:val="28"/>
                                <w:szCs w:val="28"/>
                              </w:rPr>
                              <w:tab/>
                            </w:r>
                            <w:r>
                              <w:rPr>
                                <w:rFonts w:cs="Times New Roman"/>
                                <w:sz w:val="28"/>
                                <w:szCs w:val="28"/>
                              </w:rPr>
                              <w:t xml:space="preserve">                 </w:t>
                            </w:r>
                            <w:r>
                              <w:rPr>
                                <w:rFonts w:cs="Times New Roman"/>
                                <w:b/>
                                <w:i/>
                                <w:sz w:val="28"/>
                                <w:szCs w:val="28"/>
                              </w:rPr>
                              <w:t>Dependent Variable</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top:17.4pt;height:139.5pt;width:396pt;mso-position-horizontal:left;mso-position-horizontal-relative:margin;z-index:251659264;mso-width-relative:page;mso-height-relative:page;" fillcolor="#FFFFFF [3201]" filled="t" stroked="t" coordsize="21600,21600" o:gfxdata="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fGux0dkAAAAHAQAADwAAAAAAAAAB&#10;ACAAAAAiAAAAZHJzL2Rvd25yZXYueG1sUEsBAhQAFAAAAAgAh07iQB3QHFFIAgAAxwQAAA4AAAAA&#10;AAAAAQAgAAAAKAEAAGRycy9lMm9Eb2MueG1sUEsFBgAAAAAGAAYAWQEAAOIFAAAAAA==&#10;">
                <v:fill on="t" focussize="0,0"/>
                <v:stroke weight="1pt" color="#000000 [3213]" joinstyle="round"/>
                <v:imagedata o:title=""/>
                <o:lock v:ext="edit" aspectratio="f"/>
                <v:textbox>
                  <w:txbxContent>
                    <w:p>
                      <w:r>
                        <w:rPr>
                          <w:rFonts w:cs="Times New Roman"/>
                          <w:b/>
                          <w:i/>
                          <w:sz w:val="28"/>
                          <w:szCs w:val="28"/>
                        </w:rPr>
                        <w:t xml:space="preserve">        Independent Variables</w:t>
                      </w:r>
                      <w:r>
                        <w:rPr>
                          <w:rFonts w:cs="Times New Roman"/>
                          <w:sz w:val="28"/>
                          <w:szCs w:val="28"/>
                        </w:rPr>
                        <w:tab/>
                      </w:r>
                      <w:r>
                        <w:rPr>
                          <w:rFonts w:cs="Times New Roman"/>
                          <w:sz w:val="28"/>
                          <w:szCs w:val="28"/>
                        </w:rPr>
                        <w:t xml:space="preserve">                 </w:t>
                      </w:r>
                      <w:r>
                        <w:rPr>
                          <w:rFonts w:cs="Times New Roman"/>
                          <w:b/>
                          <w:i/>
                          <w:sz w:val="28"/>
                          <w:szCs w:val="28"/>
                        </w:rPr>
                        <w:t>Dependent Variable</w:t>
                      </w:r>
                    </w:p>
                  </w:txbxContent>
                </v:textbox>
              </v:shape>
            </w:pict>
          </mc:Fallback>
        </mc:AlternateContent>
      </w:r>
    </w:p>
    <w:p>
      <w:pPr>
        <w:spacing w:line="360" w:lineRule="auto"/>
        <w:jc w:val="both"/>
        <w:rPr>
          <w:rFonts w:cs="Times New Roman"/>
          <w:szCs w:val="24"/>
        </w:rPr>
      </w:pPr>
      <w:r>
        <w:rPr>
          <w:rFonts w:cs="Times New Roman"/>
          <w:szCs w:val="24"/>
        </w:rPr>
        <mc:AlternateContent>
          <mc:Choice Requires="wps">
            <w:drawing>
              <wp:anchor distT="0" distB="0" distL="114300" distR="114300" simplePos="0" relativeHeight="251661312" behindDoc="0" locked="0" layoutInCell="1" allowOverlap="1">
                <wp:simplePos x="0" y="0"/>
                <wp:positionH relativeFrom="margin">
                  <wp:posOffset>2897505</wp:posOffset>
                </wp:positionH>
                <wp:positionV relativeFrom="paragraph">
                  <wp:posOffset>205740</wp:posOffset>
                </wp:positionV>
                <wp:extent cx="2066925" cy="1447800"/>
                <wp:effectExtent l="0" t="0" r="28575" b="19050"/>
                <wp:wrapNone/>
                <wp:docPr id="6" name="Oval 13"/>
                <wp:cNvGraphicFramePr/>
                <a:graphic xmlns:a="http://schemas.openxmlformats.org/drawingml/2006/main">
                  <a:graphicData uri="http://schemas.microsoft.com/office/word/2010/wordprocessingShape">
                    <wps:wsp>
                      <wps:cNvSpPr/>
                      <wps:spPr>
                        <a:xfrm>
                          <a:off x="0" y="0"/>
                          <a:ext cx="2066925" cy="1447800"/>
                        </a:xfrm>
                        <a:prstGeom prst="ellipse">
                          <a:avLst/>
                        </a:prstGeom>
                        <a:solidFill>
                          <a:schemeClr val="bg2">
                            <a:lumMod val="90000"/>
                          </a:schemeClr>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txbx>
                        <w:txbxContent>
                          <w:p>
                            <w:pPr>
                              <w:pStyle w:val="13"/>
                              <w:spacing w:before="0" w:beforeAutospacing="0" w:after="0" w:afterAutospacing="0"/>
                              <w:textAlignment w:val="baseline"/>
                              <w:rPr>
                                <w:color w:val="000000" w:themeColor="text1"/>
                                <w:sz w:val="20"/>
                                <w:szCs w:val="20"/>
                                <w14:textFill>
                                  <w14:solidFill>
                                    <w14:schemeClr w14:val="tx1"/>
                                  </w14:solidFill>
                                </w14:textFill>
                              </w:rPr>
                            </w:pPr>
                            <w:r>
                              <w:rPr>
                                <w:b/>
                                <w:bCs/>
                                <w:color w:val="000000" w:themeColor="text1"/>
                                <w:kern w:val="24"/>
                                <w:sz w:val="20"/>
                                <w:szCs w:val="20"/>
                                <w14:textFill>
                                  <w14:solidFill>
                                    <w14:schemeClr w14:val="tx1"/>
                                  </w14:solidFill>
                                </w14:textFill>
                              </w:rPr>
                              <w:t>Growth of MSMEs</w:t>
                            </w:r>
                          </w:p>
                          <w:p>
                            <w:pPr>
                              <w:pStyle w:val="24"/>
                              <w:numPr>
                                <w:ilvl w:val="0"/>
                                <w:numId w:val="3"/>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Sales Growth</w:t>
                            </w:r>
                          </w:p>
                          <w:p>
                            <w:pPr>
                              <w:pStyle w:val="24"/>
                              <w:numPr>
                                <w:ilvl w:val="0"/>
                                <w:numId w:val="3"/>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Profit Growth</w:t>
                            </w:r>
                          </w:p>
                          <w:p>
                            <w:pPr>
                              <w:pStyle w:val="24"/>
                              <w:numPr>
                                <w:ilvl w:val="0"/>
                                <w:numId w:val="3"/>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Asset Growth</w:t>
                            </w:r>
                          </w:p>
                        </w:txbxContent>
                      </wps:txbx>
                      <wps:bodyPr wrap="square" rtlCol="0" anchor="ctr">
                        <a:noAutofit/>
                      </wps:bodyPr>
                    </wps:wsp>
                  </a:graphicData>
                </a:graphic>
              </wp:anchor>
            </w:drawing>
          </mc:Choice>
          <mc:Fallback>
            <w:pict>
              <v:shape id="Oval 13" o:spid="_x0000_s1026" o:spt="3" type="#_x0000_t3" style="position:absolute;left:0pt;margin-left:228.15pt;margin-top:16.2pt;height:114pt;width:162.75pt;mso-position-horizontal-relative:margin;z-index:251661312;v-text-anchor:middle;mso-width-relative:page;mso-height-relative:page;" fillcolor="#D0CECE [2894]" filled="t" stroked="t" coordsize="21600,21600" o:gfxdata="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k+5+VdoAAAAKAQAADwAA&#10;AAAAAAABACAAAAAiAAAAZHJzL2Rvd25yZXYueG1sUEsBAhQAFAAAAAgAh07iQOAc2QAUAgAARwQA&#10;AA4AAAAAAAAAAQAgAAAAKQEAAGRycy9lMm9Eb2MueG1sUEsFBgAAAAAGAAYAWQEAAK8FAAAAAA==&#10;">
                <v:fill on="t" focussize="0,0"/>
                <v:stroke weight="1pt" color="#FFFFFF [3212]" miterlimit="8" joinstyle="miter"/>
                <v:imagedata o:title=""/>
                <o:lock v:ext="edit" aspectratio="f"/>
                <v:textbox>
                  <w:txbxContent>
                    <w:p>
                      <w:pPr>
                        <w:pStyle w:val="13"/>
                        <w:spacing w:before="0" w:beforeAutospacing="0" w:after="0" w:afterAutospacing="0"/>
                        <w:textAlignment w:val="baseline"/>
                        <w:rPr>
                          <w:color w:val="000000" w:themeColor="text1"/>
                          <w:sz w:val="20"/>
                          <w:szCs w:val="20"/>
                          <w14:textFill>
                            <w14:solidFill>
                              <w14:schemeClr w14:val="tx1"/>
                            </w14:solidFill>
                          </w14:textFill>
                        </w:rPr>
                      </w:pPr>
                      <w:r>
                        <w:rPr>
                          <w:b/>
                          <w:bCs/>
                          <w:color w:val="000000" w:themeColor="text1"/>
                          <w:kern w:val="24"/>
                          <w:sz w:val="20"/>
                          <w:szCs w:val="20"/>
                          <w14:textFill>
                            <w14:solidFill>
                              <w14:schemeClr w14:val="tx1"/>
                            </w14:solidFill>
                          </w14:textFill>
                        </w:rPr>
                        <w:t>Growth of MSMEs</w:t>
                      </w:r>
                    </w:p>
                    <w:p>
                      <w:pPr>
                        <w:pStyle w:val="24"/>
                        <w:numPr>
                          <w:ilvl w:val="0"/>
                          <w:numId w:val="3"/>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Sales Growth</w:t>
                      </w:r>
                    </w:p>
                    <w:p>
                      <w:pPr>
                        <w:pStyle w:val="24"/>
                        <w:numPr>
                          <w:ilvl w:val="0"/>
                          <w:numId w:val="3"/>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Profit Growth</w:t>
                      </w:r>
                    </w:p>
                    <w:p>
                      <w:pPr>
                        <w:pStyle w:val="24"/>
                        <w:numPr>
                          <w:ilvl w:val="0"/>
                          <w:numId w:val="3"/>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Asset Growth</w:t>
                      </w:r>
                    </w:p>
                  </w:txbxContent>
                </v:textbox>
              </v:shape>
            </w:pict>
          </mc:Fallback>
        </mc:AlternateContent>
      </w:r>
      <w:r>
        <w:rPr>
          <w:rFonts w:cs="Times New Roman"/>
          <w:szCs w:val="24"/>
        </w:rPr>
        <mc:AlternateContent>
          <mc:Choice Requires="wps">
            <w:drawing>
              <wp:anchor distT="0" distB="0" distL="114300" distR="114300" simplePos="0" relativeHeight="251660288" behindDoc="0" locked="0" layoutInCell="1" allowOverlap="1">
                <wp:simplePos x="0" y="0"/>
                <wp:positionH relativeFrom="margin">
                  <wp:posOffset>76200</wp:posOffset>
                </wp:positionH>
                <wp:positionV relativeFrom="paragraph">
                  <wp:posOffset>205740</wp:posOffset>
                </wp:positionV>
                <wp:extent cx="2181225" cy="1438275"/>
                <wp:effectExtent l="0" t="0" r="28575" b="28575"/>
                <wp:wrapNone/>
                <wp:docPr id="4" name="Oval 8"/>
                <wp:cNvGraphicFramePr/>
                <a:graphic xmlns:a="http://schemas.openxmlformats.org/drawingml/2006/main">
                  <a:graphicData uri="http://schemas.microsoft.com/office/word/2010/wordprocessingShape">
                    <wps:wsp>
                      <wps:cNvSpPr/>
                      <wps:spPr>
                        <a:xfrm>
                          <a:off x="0" y="0"/>
                          <a:ext cx="2181225" cy="1438275"/>
                        </a:xfrm>
                        <a:prstGeom prst="ellipse">
                          <a:avLst/>
                        </a:prstGeom>
                        <a:solidFill>
                          <a:schemeClr val="bg2">
                            <a:lumMod val="90000"/>
                          </a:schemeClr>
                        </a:solidFill>
                        <a:ln>
                          <a:solidFill>
                            <a:schemeClr val="bg1"/>
                          </a:solidFill>
                        </a:ln>
                      </wps:spPr>
                      <wps:style>
                        <a:lnRef idx="2">
                          <a:schemeClr val="dk1">
                            <a:shade val="50000"/>
                          </a:schemeClr>
                        </a:lnRef>
                        <a:fillRef idx="1">
                          <a:schemeClr val="dk1"/>
                        </a:fillRef>
                        <a:effectRef idx="0">
                          <a:schemeClr val="dk1"/>
                        </a:effectRef>
                        <a:fontRef idx="minor">
                          <a:schemeClr val="lt1"/>
                        </a:fontRef>
                      </wps:style>
                      <wps:txbx>
                        <w:txbxContent>
                          <w:p>
                            <w:pPr>
                              <w:pStyle w:val="13"/>
                              <w:spacing w:before="0" w:beforeAutospacing="0" w:after="0" w:afterAutospacing="0"/>
                              <w:textAlignment w:val="baseline"/>
                              <w:rPr>
                                <w:color w:val="000000" w:themeColor="text1"/>
                                <w:sz w:val="20"/>
                                <w:szCs w:val="20"/>
                                <w14:textFill>
                                  <w14:solidFill>
                                    <w14:schemeClr w14:val="tx1"/>
                                  </w14:solidFill>
                                </w14:textFill>
                              </w:rPr>
                            </w:pPr>
                            <w:r>
                              <w:rPr>
                                <w:b/>
                                <w:bCs/>
                                <w:color w:val="000000" w:themeColor="text1"/>
                                <w:kern w:val="24"/>
                                <w:sz w:val="20"/>
                                <w:szCs w:val="20"/>
                                <w:highlight w:val="yellow"/>
                                <w14:textFill>
                                  <w14:solidFill>
                                    <w14:schemeClr w14:val="tx1"/>
                                  </w14:solidFill>
                                </w14:textFill>
                              </w:rPr>
                              <w:t>Micro-finance Services</w:t>
                            </w:r>
                          </w:p>
                          <w:p>
                            <w:pPr>
                              <w:pStyle w:val="24"/>
                              <w:numPr>
                                <w:ilvl w:val="0"/>
                                <w:numId w:val="4"/>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Micro saving</w:t>
                            </w:r>
                          </w:p>
                          <w:p>
                            <w:pPr>
                              <w:pStyle w:val="24"/>
                              <w:numPr>
                                <w:ilvl w:val="0"/>
                                <w:numId w:val="4"/>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Micro credit facility</w:t>
                            </w:r>
                          </w:p>
                          <w:p>
                            <w:pPr>
                              <w:pStyle w:val="24"/>
                              <w:numPr>
                                <w:ilvl w:val="0"/>
                                <w:numId w:val="4"/>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Micro insurance</w:t>
                            </w:r>
                          </w:p>
                        </w:txbxContent>
                      </wps:txbx>
                      <wps:bodyPr wrap="square" rtlCol="0" anchor="ctr">
                        <a:noAutofit/>
                      </wps:bodyPr>
                    </wps:wsp>
                  </a:graphicData>
                </a:graphic>
              </wp:anchor>
            </w:drawing>
          </mc:Choice>
          <mc:Fallback>
            <w:pict>
              <v:shape id="Oval 8" o:spid="_x0000_s1026" o:spt="3" type="#_x0000_t3" style="position:absolute;left:0pt;margin-left:6pt;margin-top:16.2pt;height:113.25pt;width:171.75pt;mso-position-horizontal-relative:margin;z-index:251660288;v-text-anchor:middle;mso-width-relative:page;mso-height-relative:page;" fillcolor="#D0CECE [2894]" filled="t" stroked="t" coordsize="21600,21600" o:gfxdata="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LsgeQ2AAAAAkBAAAPAAAA&#10;AAAAAAEAIAAAACIAAABkcnMvZG93bnJldi54bWxQSwECFAAUAAAACACHTuJA73mtHBUCAABGBAAA&#10;DgAAAAAAAAABACAAAAAnAQAAZHJzL2Uyb0RvYy54bWxQSwUGAAAAAAYABgBZAQAArgUAAAAA&#10;">
                <v:fill on="t" focussize="0,0"/>
                <v:stroke weight="1pt" color="#FFFFFF [3212]" miterlimit="8" joinstyle="miter"/>
                <v:imagedata o:title=""/>
                <o:lock v:ext="edit" aspectratio="f"/>
                <v:textbox>
                  <w:txbxContent>
                    <w:p>
                      <w:pPr>
                        <w:pStyle w:val="13"/>
                        <w:spacing w:before="0" w:beforeAutospacing="0" w:after="0" w:afterAutospacing="0"/>
                        <w:textAlignment w:val="baseline"/>
                        <w:rPr>
                          <w:color w:val="000000" w:themeColor="text1"/>
                          <w:sz w:val="20"/>
                          <w:szCs w:val="20"/>
                          <w14:textFill>
                            <w14:solidFill>
                              <w14:schemeClr w14:val="tx1"/>
                            </w14:solidFill>
                          </w14:textFill>
                        </w:rPr>
                      </w:pPr>
                      <w:r>
                        <w:rPr>
                          <w:b/>
                          <w:bCs/>
                          <w:color w:val="000000" w:themeColor="text1"/>
                          <w:kern w:val="24"/>
                          <w:sz w:val="20"/>
                          <w:szCs w:val="20"/>
                          <w:highlight w:val="yellow"/>
                          <w14:textFill>
                            <w14:solidFill>
                              <w14:schemeClr w14:val="tx1"/>
                            </w14:solidFill>
                          </w14:textFill>
                        </w:rPr>
                        <w:t>Micro-finance Services</w:t>
                      </w:r>
                    </w:p>
                    <w:p>
                      <w:pPr>
                        <w:pStyle w:val="24"/>
                        <w:numPr>
                          <w:ilvl w:val="0"/>
                          <w:numId w:val="4"/>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Micro saving</w:t>
                      </w:r>
                    </w:p>
                    <w:p>
                      <w:pPr>
                        <w:pStyle w:val="24"/>
                        <w:numPr>
                          <w:ilvl w:val="0"/>
                          <w:numId w:val="4"/>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Micro credit facility</w:t>
                      </w:r>
                    </w:p>
                    <w:p>
                      <w:pPr>
                        <w:pStyle w:val="24"/>
                        <w:numPr>
                          <w:ilvl w:val="0"/>
                          <w:numId w:val="4"/>
                        </w:numPr>
                        <w:textAlignment w:val="baseline"/>
                        <w:rPr>
                          <w:rFonts w:eastAsia="Times New Roman" w:cs="Times New Roman"/>
                          <w:color w:val="000000" w:themeColor="text1"/>
                          <w:sz w:val="20"/>
                          <w14:textFill>
                            <w14:solidFill>
                              <w14:schemeClr w14:val="tx1"/>
                            </w14:solidFill>
                          </w14:textFill>
                        </w:rPr>
                      </w:pPr>
                      <w:r>
                        <w:rPr>
                          <w:rFonts w:cs="Times New Roman"/>
                          <w:b/>
                          <w:bCs/>
                          <w:color w:val="000000" w:themeColor="text1"/>
                          <w:kern w:val="24"/>
                          <w:sz w:val="20"/>
                          <w14:textFill>
                            <w14:solidFill>
                              <w14:schemeClr w14:val="tx1"/>
                            </w14:solidFill>
                          </w14:textFill>
                        </w:rPr>
                        <w:t>Micro insurance</w:t>
                      </w:r>
                    </w:p>
                  </w:txbxContent>
                </v:textbox>
              </v:shape>
            </w:pict>
          </mc:Fallback>
        </mc:AlternateContent>
      </w:r>
    </w:p>
    <w:p>
      <w:pPr>
        <w:spacing w:line="360" w:lineRule="auto"/>
        <w:jc w:val="both"/>
        <w:rPr>
          <w:rFonts w:cs="Times New Roman"/>
          <w:szCs w:val="24"/>
        </w:rPr>
      </w:pPr>
    </w:p>
    <w:p>
      <w:pPr>
        <w:spacing w:line="360" w:lineRule="auto"/>
        <w:jc w:val="both"/>
        <w:rPr>
          <w:rFonts w:cs="Times New Roman"/>
          <w:szCs w:val="24"/>
        </w:rPr>
      </w:pPr>
      <w:r>
        <w:rPr>
          <w:rFonts w:cs="Times New Roman"/>
          <w:szCs w:val="24"/>
        </w:rPr>
        <mc:AlternateContent>
          <mc:Choice Requires="wps">
            <w:drawing>
              <wp:anchor distT="0" distB="0" distL="114300" distR="114300" simplePos="0" relativeHeight="251662336" behindDoc="0" locked="0" layoutInCell="1" allowOverlap="1">
                <wp:simplePos x="0" y="0"/>
                <wp:positionH relativeFrom="margin">
                  <wp:posOffset>2326640</wp:posOffset>
                </wp:positionH>
                <wp:positionV relativeFrom="paragraph">
                  <wp:posOffset>210820</wp:posOffset>
                </wp:positionV>
                <wp:extent cx="523875" cy="318135"/>
                <wp:effectExtent l="0" t="0" r="9525" b="6350"/>
                <wp:wrapNone/>
                <wp:docPr id="24" name="Right Arrow 24"/>
                <wp:cNvGraphicFramePr/>
                <a:graphic xmlns:a="http://schemas.openxmlformats.org/drawingml/2006/main">
                  <a:graphicData uri="http://schemas.microsoft.com/office/word/2010/wordprocessingShape">
                    <wps:wsp>
                      <wps:cNvSpPr/>
                      <wps:spPr>
                        <a:xfrm>
                          <a:off x="0" y="0"/>
                          <a:ext cx="523875" cy="317973"/>
                        </a:xfrm>
                        <a:prstGeom prst="rightArrow">
                          <a:avLst/>
                        </a:prstGeom>
                        <a:solidFill>
                          <a:schemeClr val="bg2">
                            <a:lumMod val="75000"/>
                          </a:schemeClr>
                        </a:solidFill>
                        <a:ln>
                          <a:noFill/>
                        </a:ln>
                      </wps:spPr>
                      <wps:style>
                        <a:lnRef idx="2">
                          <a:schemeClr val="dk1">
                            <a:shade val="50000"/>
                          </a:schemeClr>
                        </a:lnRef>
                        <a:fillRef idx="1">
                          <a:schemeClr val="dk1"/>
                        </a:fillRef>
                        <a:effectRef idx="0">
                          <a:schemeClr val="dk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3" type="#_x0000_t13" style="position:absolute;left:0pt;margin-left:183.2pt;margin-top:16.6pt;height:25.05pt;width:41.25pt;mso-position-horizontal-relative:margin;z-index:251662336;v-text-anchor:middle;mso-width-relative:page;mso-height-relative:page;" fillcolor="#AFABAB [2414]" filled="t" stroked="f" coordsize="21600,21600" o:gfxdata="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B+BQBXaAAAACQEAAA8AAAAAAAAA&#10;AQAgAAAAIgAAAGRycy9kb3ducmV2LnhtbFBLAQIUABQAAAAIAIdO4kAiuVr2gQIAAAQFAAAOAAAA&#10;AAAAAAEAIAAAACkBAABkcnMvZTJvRG9jLnhtbFBLBQYAAAAABgAGAFkBAAAcBgAAAAA=&#10;" adj="15045,5400">
                <v:fill on="t" focussize="0,0"/>
                <v:stroke on="f" weight="1pt" miterlimit="8" joinstyle="miter"/>
                <v:imagedata o:title=""/>
                <o:lock v:ext="edit" aspectratio="f"/>
                <v:textbox>
                  <w:txbxContent>
                    <w:p>
                      <w:pPr>
                        <w:jc w:val="center"/>
                      </w:pPr>
                    </w:p>
                  </w:txbxContent>
                </v:textbox>
              </v:shape>
            </w:pict>
          </mc:Fallback>
        </mc:AlternateContent>
      </w:r>
    </w:p>
    <w:p>
      <w:pPr>
        <w:spacing w:line="360" w:lineRule="auto"/>
        <w:jc w:val="both"/>
        <w:rPr>
          <w:rFonts w:cs="Times New Roman"/>
          <w:szCs w:val="24"/>
        </w:rPr>
      </w:pPr>
    </w:p>
    <w:p>
      <w:pPr>
        <w:pStyle w:val="9"/>
        <w:spacing w:line="360" w:lineRule="auto"/>
        <w:rPr>
          <w:rFonts w:cs="Times New Roman"/>
          <w:szCs w:val="24"/>
        </w:rPr>
      </w:pPr>
      <w:bookmarkStart w:id="36" w:name="_Toc122111675"/>
    </w:p>
    <w:p>
      <w:pPr>
        <w:pStyle w:val="9"/>
        <w:spacing w:line="360" w:lineRule="auto"/>
        <w:rPr>
          <w:rFonts w:cs="Times New Roman"/>
          <w:szCs w:val="24"/>
        </w:rPr>
      </w:pPr>
      <w:r>
        <w:rPr>
          <w:rFonts w:cs="Times New Roman"/>
          <w:szCs w:val="24"/>
        </w:rPr>
        <w:fldChar w:fldCharType="begin"/>
      </w:r>
      <w:r>
        <w:rPr>
          <w:rFonts w:cs="Times New Roman"/>
          <w:szCs w:val="24"/>
        </w:rPr>
        <w:instrText xml:space="preserve"> SEQ Figure \* ARABIC \s 1 </w:instrText>
      </w:r>
      <w:r>
        <w:rPr>
          <w:rFonts w:cs="Times New Roman"/>
          <w:szCs w:val="24"/>
        </w:rPr>
        <w:fldChar w:fldCharType="separate"/>
      </w:r>
      <w:r>
        <w:rPr>
          <w:rFonts w:cs="Times New Roman"/>
          <w:szCs w:val="24"/>
        </w:rPr>
        <w:t>1</w:t>
      </w:r>
      <w:r>
        <w:rPr>
          <w:rFonts w:cs="Times New Roman"/>
          <w:szCs w:val="24"/>
        </w:rPr>
        <w:fldChar w:fldCharType="end"/>
      </w:r>
      <w:r>
        <w:rPr>
          <w:rFonts w:cs="Times New Roman"/>
          <w:szCs w:val="24"/>
        </w:rPr>
        <w:t>: Conceptual Framework</w:t>
      </w:r>
      <w:bookmarkEnd w:id="36"/>
    </w:p>
    <w:p>
      <w:pPr>
        <w:pStyle w:val="9"/>
        <w:spacing w:line="360" w:lineRule="auto"/>
        <w:rPr>
          <w:rFonts w:cs="Times New Roman"/>
          <w:i w:val="0"/>
          <w:szCs w:val="24"/>
        </w:rPr>
      </w:pPr>
      <w:r>
        <w:rPr>
          <w:rFonts w:cs="Times New Roman"/>
          <w:i w:val="0"/>
          <w:szCs w:val="24"/>
        </w:rPr>
        <w:t>Figure 1 Conceptual Framework</w:t>
      </w:r>
    </w:p>
    <w:p>
      <w:pPr>
        <w:spacing w:line="360" w:lineRule="auto"/>
        <w:jc w:val="both"/>
        <w:rPr>
          <w:rFonts w:cs="Times New Roman"/>
          <w:szCs w:val="24"/>
        </w:rPr>
      </w:pPr>
      <w:r>
        <w:rPr>
          <w:rFonts w:cs="Times New Roman"/>
          <w:szCs w:val="24"/>
        </w:rPr>
        <w:t>Five Likert scales, ranging from strongly disagree to strongly agree, were used to evaluate the variables (1 – Strongly Disagree, 2 – Disagree, 3 – Neutral, 4 – Agree, 5 – Strongly Agree).</w:t>
      </w:r>
    </w:p>
    <w:p>
      <w:pPr>
        <w:pStyle w:val="3"/>
        <w:numPr>
          <w:ilvl w:val="0"/>
          <w:numId w:val="0"/>
        </w:numPr>
        <w:spacing w:line="360" w:lineRule="auto"/>
        <w:rPr>
          <w:rFonts w:cs="Times New Roman"/>
        </w:rPr>
      </w:pPr>
      <w:bookmarkStart w:id="37" w:name="_Toc141558985"/>
      <w:bookmarkStart w:id="38" w:name="_Toc18364_WPSOffice_Level1"/>
    </w:p>
    <w:p>
      <w:pPr>
        <w:pStyle w:val="3"/>
        <w:numPr>
          <w:ilvl w:val="0"/>
          <w:numId w:val="0"/>
        </w:numPr>
        <w:spacing w:line="360" w:lineRule="auto"/>
        <w:rPr>
          <w:rFonts w:cs="Times New Roman"/>
        </w:rPr>
      </w:pPr>
      <w:r>
        <w:rPr>
          <w:rFonts w:cs="Times New Roman"/>
        </w:rPr>
        <w:t>Research Design</w:t>
      </w:r>
      <w:bookmarkEnd w:id="37"/>
      <w:bookmarkEnd w:id="38"/>
    </w:p>
    <w:p>
      <w:pPr>
        <w:spacing w:line="360" w:lineRule="auto"/>
        <w:jc w:val="both"/>
        <w:rPr>
          <w:rFonts w:cs="Times New Roman"/>
          <w:szCs w:val="24"/>
        </w:rPr>
      </w:pPr>
    </w:p>
    <w:p>
      <w:pPr>
        <w:spacing w:line="360" w:lineRule="auto"/>
        <w:jc w:val="both"/>
        <w:rPr>
          <w:rFonts w:cs="Times New Roman"/>
          <w:szCs w:val="24"/>
        </w:rPr>
      </w:pPr>
      <w:r>
        <w:rPr>
          <w:rFonts w:cs="Times New Roman"/>
          <w:szCs w:val="24"/>
        </w:rPr>
        <w:t xml:space="preserve">The research design is a thorough strategy for addressing the research question. Three different study designs exist: explanatory, explaining, and descriptive designs. Research design establishes the criteria for data collection, measurement, and analysis and offers goals for the analysis of the data at hand </w:t>
      </w:r>
      <w:sdt>
        <w:sdtPr>
          <w:rPr>
            <w:rFonts w:cs="Times New Roman"/>
            <w:szCs w:val="24"/>
          </w:rPr>
          <w:id w:val="-337076415"/>
        </w:sdtPr>
        <w:sdtEndPr>
          <w:rPr>
            <w:rFonts w:cs="Times New Roman"/>
            <w:szCs w:val="24"/>
          </w:rPr>
        </w:sdtEndPr>
        <w:sdtContent>
          <w:r>
            <w:rPr>
              <w:rFonts w:cs="Times New Roman"/>
              <w:szCs w:val="24"/>
            </w:rPr>
            <w:fldChar w:fldCharType="begin"/>
          </w:r>
          <w:r>
            <w:rPr>
              <w:rFonts w:cs="Times New Roman"/>
              <w:szCs w:val="24"/>
            </w:rPr>
            <w:instrText xml:space="preserve">CITATION JAm12 \l 1033 </w:instrText>
          </w:r>
          <w:r>
            <w:rPr>
              <w:rFonts w:cs="Times New Roman"/>
              <w:szCs w:val="24"/>
            </w:rPr>
            <w:fldChar w:fldCharType="separate"/>
          </w:r>
          <w:r>
            <w:rPr>
              <w:rFonts w:cs="Times New Roman"/>
              <w:szCs w:val="24"/>
            </w:rPr>
            <w:t>(Amediku, 2012)</w:t>
          </w:r>
          <w:r>
            <w:rPr>
              <w:rFonts w:cs="Times New Roman"/>
              <w:szCs w:val="24"/>
            </w:rPr>
            <w:fldChar w:fldCharType="end"/>
          </w:r>
        </w:sdtContent>
      </w:sdt>
      <w:r>
        <w:rPr>
          <w:rFonts w:cs="Times New Roman"/>
          <w:szCs w:val="24"/>
        </w:rPr>
        <w:t xml:space="preserve"> .This study, which can be categorized as a spectator-independent examination that goes through hypothesis and deduction, intends to counteract these impacts.</w:t>
      </w:r>
    </w:p>
    <w:p>
      <w:pPr>
        <w:spacing w:line="360" w:lineRule="auto"/>
        <w:jc w:val="both"/>
        <w:rPr>
          <w:rFonts w:cs="Times New Roman"/>
          <w:szCs w:val="24"/>
        </w:rPr>
      </w:pPr>
    </w:p>
    <w:p>
      <w:pPr>
        <w:pStyle w:val="4"/>
        <w:numPr>
          <w:ilvl w:val="0"/>
          <w:numId w:val="0"/>
        </w:numPr>
        <w:spacing w:line="360" w:lineRule="auto"/>
        <w:rPr>
          <w:rFonts w:cs="Times New Roman"/>
          <w:b w:val="0"/>
          <w:bCs/>
          <w:i/>
          <w:iCs/>
        </w:rPr>
      </w:pPr>
      <w:bookmarkStart w:id="39" w:name="_Toc141558986"/>
      <w:bookmarkStart w:id="40" w:name="_Toc125922270"/>
      <w:r>
        <w:rPr>
          <w:rFonts w:cs="Times New Roman"/>
          <w:b w:val="0"/>
          <w:bCs/>
          <w:i/>
          <w:iCs/>
        </w:rPr>
        <w:t>Type of the study</w:t>
      </w:r>
      <w:bookmarkEnd w:id="39"/>
      <w:bookmarkEnd w:id="40"/>
    </w:p>
    <w:p>
      <w:pPr>
        <w:pStyle w:val="8"/>
        <w:spacing w:line="360" w:lineRule="auto"/>
      </w:pPr>
    </w:p>
    <w:p>
      <w:pPr>
        <w:spacing w:line="360" w:lineRule="auto"/>
        <w:jc w:val="both"/>
        <w:rPr>
          <w:rFonts w:cs="Times New Roman"/>
          <w:szCs w:val="24"/>
        </w:rPr>
      </w:pPr>
      <w:r>
        <w:rPr>
          <w:rFonts w:cs="Times New Roman"/>
          <w:szCs w:val="24"/>
        </w:rPr>
        <w:t xml:space="preserve">This research study was categorized as descriptive research since it examined the impact between dependent and independent variables and used a survey approach to collect primary data from the respondents. Determining the frequency with which something occurs or the relationship between variables is the focus of descriptive research designs </w:t>
      </w:r>
      <w:sdt>
        <w:sdtPr>
          <w:rPr>
            <w:rFonts w:cs="Times New Roman"/>
            <w:szCs w:val="24"/>
          </w:rPr>
          <w:id w:val="1412506937"/>
        </w:sdtPr>
        <w:sdtEndPr>
          <w:rPr>
            <w:rFonts w:cs="Times New Roman"/>
            <w:szCs w:val="24"/>
          </w:rPr>
        </w:sdtEndPr>
        <w:sdtContent>
          <w:r>
            <w:rPr>
              <w:rFonts w:cs="Times New Roman"/>
              <w:szCs w:val="24"/>
            </w:rPr>
            <w:fldChar w:fldCharType="begin"/>
          </w:r>
          <w:r>
            <w:rPr>
              <w:rFonts w:cs="Times New Roman"/>
              <w:szCs w:val="24"/>
            </w:rPr>
            <w:instrText xml:space="preserve"> CITATION ACS03 \l 1033 </w:instrText>
          </w:r>
          <w:r>
            <w:rPr>
              <w:rFonts w:cs="Times New Roman"/>
              <w:szCs w:val="24"/>
            </w:rPr>
            <w:fldChar w:fldCharType="separate"/>
          </w:r>
          <w:r>
            <w:rPr>
              <w:rFonts w:cs="Times New Roman"/>
              <w:szCs w:val="24"/>
            </w:rPr>
            <w:t>(Schindler, 2003)</w:t>
          </w:r>
          <w:r>
            <w:rPr>
              <w:rFonts w:cs="Times New Roman"/>
              <w:szCs w:val="24"/>
            </w:rPr>
            <w:fldChar w:fldCharType="end"/>
          </w:r>
        </w:sdtContent>
      </w:sdt>
      <w:r>
        <w:rPr>
          <w:rFonts w:cs="Times New Roman"/>
          <w:szCs w:val="24"/>
        </w:rPr>
        <w:t xml:space="preserve">. Regression analysis was used as the analytical method for the study with the main goal of analyzing the Impact of Micro-finance Services on the Growth of Small and Medium Scale Enterprises in Sri Lanka. </w:t>
      </w:r>
    </w:p>
    <w:p>
      <w:pPr>
        <w:spacing w:line="360" w:lineRule="auto"/>
        <w:jc w:val="both"/>
        <w:rPr>
          <w:rFonts w:cs="Times New Roman"/>
          <w:szCs w:val="24"/>
        </w:rPr>
      </w:pPr>
    </w:p>
    <w:p>
      <w:pPr>
        <w:pStyle w:val="4"/>
        <w:numPr>
          <w:ilvl w:val="0"/>
          <w:numId w:val="0"/>
        </w:numPr>
        <w:spacing w:line="360" w:lineRule="auto"/>
        <w:ind w:left="1080" w:hanging="1080"/>
        <w:rPr>
          <w:rFonts w:cs="Times New Roman"/>
          <w:b w:val="0"/>
          <w:bCs/>
          <w:i/>
          <w:iCs/>
        </w:rPr>
      </w:pPr>
      <w:bookmarkStart w:id="41" w:name="_Toc125922275"/>
      <w:bookmarkStart w:id="42" w:name="_Toc141558988"/>
      <w:r>
        <w:rPr>
          <w:rFonts w:cs="Times New Roman"/>
          <w:b w:val="0"/>
          <w:bCs/>
          <w:i/>
          <w:iCs/>
        </w:rPr>
        <w:t>Population</w:t>
      </w:r>
      <w:bookmarkEnd w:id="41"/>
      <w:bookmarkEnd w:id="42"/>
    </w:p>
    <w:p>
      <w:pPr>
        <w:pStyle w:val="8"/>
        <w:spacing w:line="360" w:lineRule="auto"/>
      </w:pPr>
    </w:p>
    <w:p>
      <w:pPr>
        <w:spacing w:line="360" w:lineRule="auto"/>
        <w:jc w:val="both"/>
        <w:rPr>
          <w:rFonts w:cs="Times New Roman"/>
          <w:i/>
          <w:szCs w:val="24"/>
        </w:rPr>
      </w:pPr>
      <w:r>
        <w:rPr>
          <w:rFonts w:cs="Times New Roman"/>
          <w:szCs w:val="24"/>
        </w:rPr>
        <w:t xml:space="preserve">Population is the total number of people or objects that the researcher needs to collect information from. The entire group of subjects, objects, and events under investigation is referred to as the population, and the researcher must make inferences about the population based on sample data </w:t>
      </w:r>
      <w:sdt>
        <w:sdtPr>
          <w:rPr>
            <w:rFonts w:cs="Times New Roman"/>
            <w:szCs w:val="24"/>
          </w:rPr>
          <w:id w:val="-1601333702"/>
        </w:sdtPr>
        <w:sdtEndPr>
          <w:rPr>
            <w:rFonts w:cs="Times New Roman"/>
            <w:szCs w:val="24"/>
          </w:rPr>
        </w:sdtEndPr>
        <w:sdtContent>
          <w:r>
            <w:rPr>
              <w:rFonts w:cs="Times New Roman"/>
              <w:szCs w:val="24"/>
            </w:rPr>
            <w:fldChar w:fldCharType="begin"/>
          </w:r>
          <w:r>
            <w:rPr>
              <w:rFonts w:cs="Times New Roman"/>
              <w:szCs w:val="24"/>
            </w:rPr>
            <w:instrText xml:space="preserve"> CITATION USe03 \l 1033 </w:instrText>
          </w:r>
          <w:r>
            <w:rPr>
              <w:rFonts w:cs="Times New Roman"/>
              <w:szCs w:val="24"/>
            </w:rPr>
            <w:fldChar w:fldCharType="separate"/>
          </w:r>
          <w:r>
            <w:rPr>
              <w:rFonts w:cs="Times New Roman"/>
              <w:szCs w:val="24"/>
            </w:rPr>
            <w:t>(Sekaran, 2003)</w:t>
          </w:r>
          <w:r>
            <w:rPr>
              <w:rFonts w:cs="Times New Roman"/>
              <w:szCs w:val="24"/>
            </w:rPr>
            <w:fldChar w:fldCharType="end"/>
          </w:r>
        </w:sdtContent>
      </w:sdt>
      <w:r>
        <w:rPr>
          <w:rFonts w:cs="Times New Roman"/>
          <w:szCs w:val="24"/>
        </w:rPr>
        <w:t>. Micro, small, and medium-sized businesses (MSMEs) in the service sector operating in the Colombo District compensate the entire population for this study, and the sample is drawn from this population. It was found that number of formal establishments in Service Sector in Colombo District was 339,425.(</w:t>
      </w:r>
      <w:r>
        <w:rPr>
          <w:rFonts w:cs="Times New Roman"/>
          <w:i/>
          <w:szCs w:val="24"/>
        </w:rPr>
        <w:t>Economic census,2013).</w:t>
      </w:r>
    </w:p>
    <w:p>
      <w:pPr>
        <w:spacing w:line="360" w:lineRule="auto"/>
        <w:jc w:val="both"/>
        <w:rPr>
          <w:rFonts w:cs="Times New Roman"/>
          <w:i/>
          <w:szCs w:val="24"/>
        </w:rPr>
      </w:pPr>
    </w:p>
    <w:p>
      <w:pPr>
        <w:spacing w:line="360" w:lineRule="auto"/>
        <w:jc w:val="both"/>
        <w:rPr>
          <w:rFonts w:cs="Times New Roman"/>
          <w:i/>
          <w:szCs w:val="24"/>
        </w:rPr>
      </w:pPr>
    </w:p>
    <w:p>
      <w:pPr>
        <w:spacing w:line="360" w:lineRule="auto"/>
        <w:jc w:val="both"/>
        <w:rPr>
          <w:rFonts w:cs="Times New Roman"/>
          <w:i/>
          <w:szCs w:val="24"/>
        </w:rPr>
      </w:pPr>
    </w:p>
    <w:p>
      <w:pPr>
        <w:pStyle w:val="4"/>
        <w:numPr>
          <w:ilvl w:val="0"/>
          <w:numId w:val="0"/>
        </w:numPr>
        <w:spacing w:line="360" w:lineRule="auto"/>
        <w:ind w:left="1080" w:hanging="1080"/>
        <w:rPr>
          <w:rFonts w:cs="Times New Roman"/>
          <w:b w:val="0"/>
          <w:bCs/>
          <w:i/>
          <w:iCs/>
        </w:rPr>
      </w:pPr>
      <w:bookmarkStart w:id="43" w:name="_Toc141558989"/>
      <w:bookmarkStart w:id="44" w:name="_Toc125922276"/>
      <w:r>
        <w:rPr>
          <w:rFonts w:cs="Times New Roman"/>
          <w:b w:val="0"/>
          <w:bCs/>
          <w:i/>
          <w:iCs/>
        </w:rPr>
        <w:t>Sample</w:t>
      </w:r>
      <w:bookmarkEnd w:id="43"/>
      <w:bookmarkEnd w:id="44"/>
    </w:p>
    <w:p>
      <w:pPr>
        <w:pStyle w:val="8"/>
        <w:spacing w:line="360" w:lineRule="auto"/>
      </w:pPr>
    </w:p>
    <w:p>
      <w:pPr>
        <w:spacing w:line="360" w:lineRule="auto"/>
        <w:jc w:val="both"/>
        <w:rPr>
          <w:rFonts w:cs="Times New Roman"/>
          <w:szCs w:val="24"/>
        </w:rPr>
      </w:pPr>
      <w:r>
        <w:rPr>
          <w:rFonts w:cs="Times New Roman"/>
          <w:szCs w:val="24"/>
        </w:rPr>
        <w:t>A sample is a subset of the population or element that is selected to take part in a study. By choosing a sample from the entire population, the researcher may examine the responses more quickly and cost-effectively. The convenience sampling technique, which falls under the category of random sampling techniques, was used to pick the sample for this investigation. Convenience sampling is the practice of gathering data from population members who are conveniently able to do so. In order to perform this study, 250 micro, small, and medium-sized businesses (MSMEs) in the service sector operating in the Colombo district were chosen as a sample from the above-mentioned population.</w:t>
      </w:r>
    </w:p>
    <w:p>
      <w:pPr>
        <w:spacing w:line="360" w:lineRule="auto"/>
        <w:jc w:val="both"/>
        <w:rPr>
          <w:rFonts w:cs="Times New Roman"/>
          <w:szCs w:val="24"/>
        </w:rPr>
      </w:pPr>
    </w:p>
    <w:p>
      <w:pPr>
        <w:pStyle w:val="3"/>
        <w:numPr>
          <w:ilvl w:val="0"/>
          <w:numId w:val="0"/>
        </w:numPr>
        <w:spacing w:before="0" w:line="360" w:lineRule="auto"/>
        <w:rPr>
          <w:rFonts w:cs="Times New Roman"/>
        </w:rPr>
      </w:pPr>
      <w:bookmarkStart w:id="45" w:name="_Toc2498_WPSOffice_Level1"/>
      <w:bookmarkStart w:id="46" w:name="_Toc92489913"/>
      <w:bookmarkStart w:id="47" w:name="_Toc125922278"/>
      <w:bookmarkStart w:id="48" w:name="_Toc141558990"/>
      <w:r>
        <w:rPr>
          <w:rFonts w:cs="Times New Roman"/>
        </w:rPr>
        <w:t>Data Analysis Techniques</w:t>
      </w:r>
      <w:bookmarkEnd w:id="45"/>
      <w:bookmarkEnd w:id="46"/>
      <w:bookmarkEnd w:id="47"/>
      <w:bookmarkEnd w:id="48"/>
    </w:p>
    <w:p>
      <w:pPr>
        <w:spacing w:line="360" w:lineRule="auto"/>
        <w:rPr>
          <w:rFonts w:cs="Times New Roman"/>
          <w:szCs w:val="24"/>
        </w:rPr>
      </w:pPr>
    </w:p>
    <w:p>
      <w:pPr>
        <w:spacing w:line="360" w:lineRule="auto"/>
        <w:jc w:val="both"/>
        <w:rPr>
          <w:rFonts w:cs="Times New Roman"/>
          <w:szCs w:val="24"/>
        </w:rPr>
      </w:pPr>
      <w:r>
        <w:rPr>
          <w:rFonts w:cs="Times New Roman"/>
          <w:szCs w:val="24"/>
        </w:rPr>
        <w:t xml:space="preserve">Data analysis is the methodical process of using statistical methods to define, present, and interpret data. Quantitative research may utilize statistical approaches; however, data analysis is usually a continuous repetitive process in which data are gathered and assessed almost immediately. The three major objectives of data analysis are to understand the data, assess the quality of the data, and validate the study hypotheses </w:t>
      </w:r>
      <w:sdt>
        <w:sdtPr>
          <w:rPr>
            <w:rFonts w:cs="Times New Roman"/>
            <w:szCs w:val="24"/>
          </w:rPr>
          <w:id w:val="479119861"/>
        </w:sdtPr>
        <w:sdtEndPr>
          <w:rPr>
            <w:rFonts w:cs="Times New Roman"/>
            <w:szCs w:val="24"/>
          </w:rPr>
        </w:sdtEndPr>
        <w:sdtContent>
          <w:r>
            <w:rPr>
              <w:rFonts w:cs="Times New Roman"/>
              <w:szCs w:val="24"/>
            </w:rPr>
            <w:fldChar w:fldCharType="begin"/>
          </w:r>
          <w:r>
            <w:rPr>
              <w:rFonts w:cs="Times New Roman"/>
              <w:szCs w:val="24"/>
            </w:rPr>
            <w:instrText xml:space="preserve"> CITATION MSa03 \l 1033 </w:instrText>
          </w:r>
          <w:r>
            <w:rPr>
              <w:rFonts w:cs="Times New Roman"/>
              <w:szCs w:val="24"/>
            </w:rPr>
            <w:fldChar w:fldCharType="separate"/>
          </w:r>
          <w:r>
            <w:rPr>
              <w:rFonts w:cs="Times New Roman"/>
              <w:szCs w:val="24"/>
            </w:rPr>
            <w:t>(M. Saunders, 2003)</w:t>
          </w:r>
          <w:r>
            <w:rPr>
              <w:rFonts w:cs="Times New Roman"/>
              <w:szCs w:val="24"/>
            </w:rPr>
            <w:fldChar w:fldCharType="end"/>
          </w:r>
        </w:sdtContent>
      </w:sdt>
      <w:r>
        <w:rPr>
          <w:rFonts w:cs="Times New Roman"/>
          <w:szCs w:val="24"/>
        </w:rPr>
        <w:t xml:space="preserve">.In this paper the researcher has used descriptive statistics, correlation and regression analysis with the use of Statistical Package for the Social Sciences (SPSS). </w:t>
      </w:r>
    </w:p>
    <w:p>
      <w:pPr>
        <w:pStyle w:val="2"/>
        <w:numPr>
          <w:ilvl w:val="0"/>
          <w:numId w:val="0"/>
        </w:numPr>
        <w:spacing w:line="360" w:lineRule="auto"/>
        <w:ind w:left="360"/>
        <w:rPr>
          <w:rFonts w:cs="Times New Roman"/>
          <w:sz w:val="28"/>
          <w:szCs w:val="28"/>
        </w:rPr>
      </w:pPr>
      <w:bookmarkStart w:id="49" w:name="_Toc13066_WPSOffice_Level1"/>
      <w:bookmarkStart w:id="50" w:name="_Toc141558993"/>
      <w:bookmarkStart w:id="51" w:name="_Toc125922285"/>
      <w:r>
        <w:rPr>
          <w:rFonts w:cs="Times New Roman"/>
          <w:sz w:val="28"/>
          <w:szCs w:val="28"/>
        </w:rPr>
        <w:t>Findings and Discussion</w:t>
      </w:r>
      <w:bookmarkEnd w:id="49"/>
      <w:bookmarkEnd w:id="50"/>
      <w:bookmarkEnd w:id="51"/>
    </w:p>
    <w:p>
      <w:pPr>
        <w:spacing w:line="360" w:lineRule="auto"/>
        <w:rPr>
          <w:rFonts w:cs="Times New Roman"/>
        </w:rPr>
      </w:pPr>
    </w:p>
    <w:p>
      <w:pPr>
        <w:spacing w:line="360" w:lineRule="auto"/>
        <w:jc w:val="both"/>
        <w:rPr>
          <w:rFonts w:cs="Times New Roman"/>
          <w:szCs w:val="24"/>
        </w:rPr>
      </w:pPr>
      <w:r>
        <w:rPr>
          <w:rFonts w:cs="Times New Roman"/>
          <w:szCs w:val="24"/>
        </w:rPr>
        <w:t>Data analysis is divided into two groups in this chapter. Descriptive data analysis is used in the first category to show the respondents' demographic features, while inferential data analysis is used in the second category to find the answers to the research questions. The statistical package for the social sciences (SPSS) software, version 23, was used for the statistical analysis.</w:t>
      </w:r>
    </w:p>
    <w:p>
      <w:pPr>
        <w:spacing w:line="360" w:lineRule="auto"/>
        <w:jc w:val="both"/>
        <w:rPr>
          <w:rFonts w:cs="Times New Roman"/>
          <w:szCs w:val="24"/>
        </w:rPr>
      </w:pPr>
    </w:p>
    <w:p>
      <w:pPr>
        <w:pStyle w:val="9"/>
        <w:keepNext/>
        <w:spacing w:line="360" w:lineRule="auto"/>
        <w:rPr>
          <w:rFonts w:cs="Times New Roman"/>
          <w:i w:val="0"/>
          <w:szCs w:val="24"/>
        </w:rPr>
      </w:pPr>
      <w:bookmarkStart w:id="52" w:name="_Toc122095167"/>
      <w:r>
        <w:rPr>
          <w:rFonts w:cs="Times New Roman"/>
          <w:i w:val="0"/>
          <w:szCs w:val="24"/>
        </w:rPr>
        <w:t>Table 1: Summary of administrated and received questionnaires</w:t>
      </w:r>
      <w:bookmarkEnd w:id="52"/>
    </w:p>
    <w:tbl>
      <w:tblPr>
        <w:tblStyle w:val="25"/>
        <w:tblW w:w="76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34"/>
        <w:gridCol w:w="1682"/>
        <w:gridCol w:w="1808"/>
        <w:gridCol w:w="1140"/>
        <w:gridCol w:w="11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1" w:hRule="atLeast"/>
        </w:trPr>
        <w:tc>
          <w:tcPr>
            <w:tcW w:w="1934" w:type="dxa"/>
            <w:tcBorders>
              <w:top w:val="single" w:color="auto" w:sz="4" w:space="0"/>
              <w:bottom w:val="single" w:color="auto" w:sz="4" w:space="0"/>
            </w:tcBorders>
            <w:shd w:val="clear" w:color="auto" w:fill="E7E6E6" w:themeFill="background2"/>
          </w:tcPr>
          <w:p>
            <w:pPr>
              <w:spacing w:line="360" w:lineRule="auto"/>
              <w:jc w:val="both"/>
              <w:rPr>
                <w:rFonts w:cs="Times New Roman"/>
                <w:szCs w:val="24"/>
              </w:rPr>
            </w:pPr>
            <w:r>
              <w:rPr>
                <w:rFonts w:cs="Times New Roman"/>
                <w:b/>
                <w:bCs/>
                <w:szCs w:val="24"/>
              </w:rPr>
              <w:t>No of Quest. Administrated</w:t>
            </w:r>
          </w:p>
        </w:tc>
        <w:tc>
          <w:tcPr>
            <w:tcW w:w="1682" w:type="dxa"/>
            <w:tcBorders>
              <w:top w:val="single" w:color="auto" w:sz="4" w:space="0"/>
              <w:bottom w:val="single" w:color="auto" w:sz="4" w:space="0"/>
            </w:tcBorders>
            <w:shd w:val="clear" w:color="auto" w:fill="E7E6E6" w:themeFill="background2"/>
          </w:tcPr>
          <w:p>
            <w:pPr>
              <w:spacing w:line="360" w:lineRule="auto"/>
              <w:jc w:val="both"/>
              <w:rPr>
                <w:rFonts w:cs="Times New Roman"/>
                <w:b/>
                <w:bCs/>
                <w:szCs w:val="24"/>
              </w:rPr>
            </w:pPr>
            <w:r>
              <w:rPr>
                <w:rFonts w:cs="Times New Roman"/>
                <w:b/>
                <w:bCs/>
                <w:szCs w:val="24"/>
              </w:rPr>
              <w:t>No of Quest.</w:t>
            </w:r>
          </w:p>
          <w:p>
            <w:pPr>
              <w:spacing w:line="360" w:lineRule="auto"/>
              <w:jc w:val="both"/>
              <w:rPr>
                <w:rFonts w:cs="Times New Roman"/>
                <w:szCs w:val="24"/>
              </w:rPr>
            </w:pPr>
            <w:r>
              <w:rPr>
                <w:rFonts w:cs="Times New Roman"/>
                <w:b/>
                <w:bCs/>
                <w:szCs w:val="24"/>
              </w:rPr>
              <w:t>Received</w:t>
            </w:r>
          </w:p>
        </w:tc>
        <w:tc>
          <w:tcPr>
            <w:tcW w:w="1808" w:type="dxa"/>
            <w:tcBorders>
              <w:top w:val="single" w:color="auto" w:sz="4" w:space="0"/>
              <w:bottom w:val="single" w:color="auto" w:sz="4" w:space="0"/>
            </w:tcBorders>
            <w:shd w:val="clear" w:color="auto" w:fill="E7E6E6" w:themeFill="background2"/>
          </w:tcPr>
          <w:p>
            <w:pPr>
              <w:spacing w:line="360" w:lineRule="auto"/>
              <w:jc w:val="both"/>
              <w:rPr>
                <w:rFonts w:cs="Times New Roman"/>
                <w:b/>
                <w:bCs/>
                <w:szCs w:val="24"/>
              </w:rPr>
            </w:pPr>
            <w:r>
              <w:rPr>
                <w:rFonts w:cs="Times New Roman"/>
                <w:b/>
                <w:bCs/>
                <w:szCs w:val="24"/>
              </w:rPr>
              <w:t>No of Quest.</w:t>
            </w:r>
          </w:p>
          <w:p>
            <w:pPr>
              <w:spacing w:line="360" w:lineRule="auto"/>
              <w:jc w:val="both"/>
              <w:rPr>
                <w:rFonts w:cs="Times New Roman"/>
                <w:szCs w:val="24"/>
              </w:rPr>
            </w:pPr>
            <w:r>
              <w:rPr>
                <w:rFonts w:cs="Times New Roman"/>
                <w:b/>
                <w:bCs/>
                <w:szCs w:val="24"/>
              </w:rPr>
              <w:t xml:space="preserve"> Rejected</w:t>
            </w:r>
          </w:p>
        </w:tc>
        <w:tc>
          <w:tcPr>
            <w:tcW w:w="1140" w:type="dxa"/>
            <w:tcBorders>
              <w:top w:val="single" w:color="auto" w:sz="4" w:space="0"/>
              <w:bottom w:val="single" w:color="auto" w:sz="4" w:space="0"/>
            </w:tcBorders>
            <w:shd w:val="clear" w:color="auto" w:fill="E7E6E6" w:themeFill="background2"/>
          </w:tcPr>
          <w:p>
            <w:pPr>
              <w:spacing w:line="360" w:lineRule="auto"/>
              <w:jc w:val="both"/>
              <w:rPr>
                <w:rFonts w:cs="Times New Roman"/>
                <w:szCs w:val="24"/>
              </w:rPr>
            </w:pPr>
            <w:r>
              <w:rPr>
                <w:rFonts w:cs="Times New Roman"/>
                <w:szCs w:val="24"/>
              </w:rPr>
              <w:t>Response Rate</w:t>
            </w:r>
          </w:p>
        </w:tc>
        <w:tc>
          <w:tcPr>
            <w:tcW w:w="1119" w:type="dxa"/>
            <w:tcBorders>
              <w:top w:val="single" w:color="auto" w:sz="4" w:space="0"/>
              <w:bottom w:val="single" w:color="auto" w:sz="4" w:space="0"/>
            </w:tcBorders>
            <w:shd w:val="clear" w:color="auto" w:fill="E7E6E6" w:themeFill="background2"/>
          </w:tcPr>
          <w:p>
            <w:pPr>
              <w:spacing w:line="360" w:lineRule="auto"/>
              <w:jc w:val="both"/>
              <w:rPr>
                <w:rFonts w:cs="Times New Roman"/>
                <w:szCs w:val="24"/>
              </w:rPr>
            </w:pPr>
            <w:r>
              <w:rPr>
                <w:rFonts w:cs="Times New Roman"/>
                <w:szCs w:val="24"/>
              </w:rPr>
              <w:t>Rejected Rate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 w:hRule="atLeast"/>
        </w:trPr>
        <w:tc>
          <w:tcPr>
            <w:tcW w:w="1934" w:type="dxa"/>
            <w:tcBorders>
              <w:top w:val="single" w:color="auto" w:sz="4" w:space="0"/>
              <w:bottom w:val="single" w:color="auto" w:sz="4" w:space="0"/>
            </w:tcBorders>
          </w:tcPr>
          <w:p>
            <w:pPr>
              <w:spacing w:line="360" w:lineRule="auto"/>
              <w:jc w:val="both"/>
              <w:rPr>
                <w:rFonts w:cs="Times New Roman"/>
                <w:b/>
                <w:bCs/>
                <w:szCs w:val="24"/>
              </w:rPr>
            </w:pPr>
            <w:r>
              <w:rPr>
                <w:rFonts w:cs="Times New Roman"/>
                <w:b/>
                <w:bCs/>
                <w:szCs w:val="24"/>
              </w:rPr>
              <w:t>275</w:t>
            </w:r>
          </w:p>
        </w:tc>
        <w:tc>
          <w:tcPr>
            <w:tcW w:w="1682"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250</w:t>
            </w:r>
          </w:p>
        </w:tc>
        <w:tc>
          <w:tcPr>
            <w:tcW w:w="1808"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25</w:t>
            </w:r>
          </w:p>
        </w:tc>
        <w:tc>
          <w:tcPr>
            <w:tcW w:w="1140"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90.9%</w:t>
            </w:r>
          </w:p>
        </w:tc>
        <w:tc>
          <w:tcPr>
            <w:tcW w:w="1119"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9.1%</w:t>
            </w:r>
          </w:p>
        </w:tc>
      </w:tr>
    </w:tbl>
    <w:p>
      <w:pPr>
        <w:tabs>
          <w:tab w:val="left" w:pos="3150"/>
        </w:tabs>
        <w:spacing w:line="360" w:lineRule="auto"/>
        <w:ind w:left="1890" w:firstLine="3150"/>
        <w:jc w:val="both"/>
        <w:rPr>
          <w:rFonts w:cs="Times New Roman"/>
          <w:i/>
          <w:iCs/>
          <w:sz w:val="22"/>
          <w:szCs w:val="22"/>
        </w:rPr>
      </w:pPr>
      <w:r>
        <w:rPr>
          <w:rFonts w:cs="Times New Roman"/>
          <w:i/>
          <w:iCs/>
          <w:sz w:val="22"/>
          <w:szCs w:val="22"/>
        </w:rPr>
        <w:t>Source: survey data</w:t>
      </w:r>
    </w:p>
    <w:p>
      <w:pPr>
        <w:spacing w:line="360" w:lineRule="auto"/>
        <w:rPr>
          <w:rFonts w:cs="Times New Roman"/>
          <w:szCs w:val="24"/>
        </w:rPr>
      </w:pPr>
    </w:p>
    <w:p>
      <w:pPr>
        <w:pStyle w:val="3"/>
        <w:numPr>
          <w:ilvl w:val="0"/>
          <w:numId w:val="0"/>
        </w:numPr>
        <w:spacing w:line="360" w:lineRule="auto"/>
        <w:rPr>
          <w:rFonts w:cs="Times New Roman"/>
        </w:rPr>
      </w:pPr>
      <w:bookmarkStart w:id="53" w:name="_Toc125922291"/>
      <w:bookmarkStart w:id="54" w:name="_Toc2264_WPSOffice_Level1"/>
      <w:bookmarkStart w:id="55" w:name="_Toc141558994"/>
      <w:r>
        <w:rPr>
          <w:rFonts w:cs="Times New Roman"/>
        </w:rPr>
        <w:t>Descriptive Data Analysis</w:t>
      </w:r>
      <w:bookmarkEnd w:id="53"/>
      <w:bookmarkEnd w:id="54"/>
      <w:bookmarkEnd w:id="55"/>
    </w:p>
    <w:p>
      <w:pPr>
        <w:spacing w:line="360" w:lineRule="auto"/>
        <w:rPr>
          <w:rFonts w:cs="Times New Roman"/>
          <w:szCs w:val="24"/>
        </w:rPr>
      </w:pPr>
    </w:p>
    <w:p>
      <w:pPr>
        <w:pStyle w:val="8"/>
        <w:spacing w:line="360" w:lineRule="auto"/>
      </w:pPr>
      <w:bookmarkStart w:id="56" w:name="_Toc125922292"/>
      <w:r>
        <w:t>Frequency distribution analysis of respondents by their personal characteristics</w:t>
      </w:r>
      <w:bookmarkEnd w:id="56"/>
    </w:p>
    <w:p>
      <w:pPr>
        <w:pStyle w:val="8"/>
        <w:spacing w:line="360" w:lineRule="auto"/>
      </w:pPr>
    </w:p>
    <w:p>
      <w:pPr>
        <w:spacing w:line="360" w:lineRule="auto"/>
        <w:jc w:val="both"/>
        <w:rPr>
          <w:rFonts w:cs="Times New Roman"/>
          <w:szCs w:val="24"/>
        </w:rPr>
      </w:pPr>
      <w:r>
        <w:rPr>
          <w:rFonts w:cs="Times New Roman"/>
          <w:szCs w:val="24"/>
        </w:rPr>
        <w:t>An overview of the respondents is given in this section, which helps identify their demographic make-up. The six demographic questions in the research questionnaire are</w:t>
      </w:r>
      <w:r>
        <w:rPr>
          <w:rFonts w:cs="Times New Roman"/>
          <w:szCs w:val="24"/>
          <w:highlight w:val="yellow"/>
        </w:rPr>
        <w:t>: Number of years in operation (Years)</w:t>
      </w:r>
      <w:r>
        <w:rPr>
          <w:rFonts w:cs="Times New Roman"/>
          <w:szCs w:val="24"/>
        </w:rPr>
        <w:t xml:space="preserve">, </w:t>
      </w:r>
      <w:r>
        <w:rPr>
          <w:rFonts w:cs="Times New Roman"/>
          <w:szCs w:val="24"/>
          <w:highlight w:val="yellow"/>
        </w:rPr>
        <w:t>Gender of Entrepreneur</w:t>
      </w:r>
      <w:r>
        <w:rPr>
          <w:rFonts w:cs="Times New Roman"/>
          <w:szCs w:val="24"/>
        </w:rPr>
        <w:t xml:space="preserve">, </w:t>
      </w:r>
      <w:r>
        <w:rPr>
          <w:rFonts w:cs="Times New Roman"/>
          <w:szCs w:val="24"/>
          <w:highlight w:val="yellow"/>
        </w:rPr>
        <w:t>Age of Entrepreneur</w:t>
      </w:r>
      <w:r>
        <w:rPr>
          <w:rFonts w:cs="Times New Roman"/>
          <w:szCs w:val="24"/>
        </w:rPr>
        <w:t xml:space="preserve">, Educational Level, </w:t>
      </w:r>
      <w:r>
        <w:rPr>
          <w:rFonts w:cs="Times New Roman"/>
          <w:szCs w:val="24"/>
          <w:highlight w:val="yellow"/>
        </w:rPr>
        <w:t>Industry Experience of Entrepreneur (Years)</w:t>
      </w:r>
      <w:r>
        <w:rPr>
          <w:rFonts w:cs="Times New Roman"/>
          <w:szCs w:val="24"/>
        </w:rPr>
        <w:t>, and Number of Employees. The following tables and graphs were used to present the examined data.</w:t>
      </w:r>
    </w:p>
    <w:p>
      <w:pPr>
        <w:spacing w:line="360" w:lineRule="auto"/>
        <w:jc w:val="both"/>
        <w:rPr>
          <w:rFonts w:cs="Times New Roman"/>
          <w:szCs w:val="24"/>
        </w:rPr>
      </w:pPr>
    </w:p>
    <w:p>
      <w:pPr>
        <w:pStyle w:val="9"/>
        <w:keepNext/>
        <w:spacing w:line="360" w:lineRule="auto"/>
        <w:rPr>
          <w:rFonts w:cs="Times New Roman"/>
          <w:i w:val="0"/>
          <w:szCs w:val="24"/>
        </w:rPr>
      </w:pPr>
      <w:bookmarkStart w:id="57" w:name="_Toc122095169"/>
      <w:r>
        <w:rPr>
          <w:rFonts w:cs="Times New Roman"/>
          <w:i w:val="0"/>
          <w:szCs w:val="24"/>
        </w:rPr>
        <w:t xml:space="preserve">Table 2: Demographic characteristic: </w:t>
      </w:r>
      <w:bookmarkEnd w:id="57"/>
      <w:r>
        <w:rPr>
          <w:rFonts w:cs="Times New Roman"/>
          <w:i w:val="0"/>
          <w:szCs w:val="24"/>
        </w:rPr>
        <w:t>Number of years in operation (Years)</w:t>
      </w:r>
    </w:p>
    <w:tbl>
      <w:tblPr>
        <w:tblStyle w:val="26"/>
        <w:tblW w:w="734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90"/>
        <w:gridCol w:w="2007"/>
        <w:gridCol w:w="1480"/>
        <w:gridCol w:w="199"/>
        <w:gridCol w:w="1108"/>
        <w:gridCol w:w="15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trPr>
        <w:tc>
          <w:tcPr>
            <w:tcW w:w="2997" w:type="dxa"/>
            <w:gridSpan w:val="2"/>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val="0"/>
                <w:bCs w:val="0"/>
                <w:szCs w:val="24"/>
              </w:rPr>
            </w:pPr>
          </w:p>
        </w:tc>
        <w:tc>
          <w:tcPr>
            <w:tcW w:w="1480"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 w:val="22"/>
                <w:szCs w:val="22"/>
              </w:rPr>
            </w:pPr>
            <w:r>
              <w:rPr>
                <w:rFonts w:cs="Times New Roman"/>
                <w:b/>
                <w:bCs/>
                <w:sz w:val="22"/>
                <w:szCs w:val="22"/>
              </w:rPr>
              <w:t>Frequency</w:t>
            </w:r>
          </w:p>
        </w:tc>
        <w:tc>
          <w:tcPr>
            <w:tcW w:w="1307" w:type="dxa"/>
            <w:gridSpan w:val="2"/>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 w:val="22"/>
                <w:szCs w:val="22"/>
              </w:rPr>
            </w:pPr>
            <w:r>
              <w:rPr>
                <w:rFonts w:cs="Times New Roman"/>
                <w:b/>
                <w:bCs/>
                <w:sz w:val="22"/>
                <w:szCs w:val="22"/>
              </w:rPr>
              <w:t>Percent</w:t>
            </w:r>
          </w:p>
        </w:tc>
        <w:tc>
          <w:tcPr>
            <w:tcW w:w="1559"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 w:val="22"/>
                <w:szCs w:val="22"/>
              </w:rPr>
            </w:pPr>
            <w:r>
              <w:rPr>
                <w:rFonts w:cs="Times New Roman"/>
                <w:b/>
                <w:bCs/>
                <w:szCs w:val="24"/>
              </w:rPr>
              <w:t>Cumulative</w:t>
            </w:r>
            <w:r>
              <w:rPr>
                <w:rFonts w:cs="Times New Roman"/>
                <w:b/>
                <w:bCs/>
                <w:sz w:val="22"/>
                <w:szCs w:val="22"/>
              </w:rPr>
              <w:t xml:space="preserve"> Percent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990" w:type="dxa"/>
            <w:vMerge w:val="restart"/>
          </w:tcPr>
          <w:p>
            <w:pPr>
              <w:spacing w:line="360" w:lineRule="auto"/>
              <w:ind w:left="60" w:right="60"/>
              <w:jc w:val="both"/>
              <w:rPr>
                <w:rFonts w:cs="Times New Roman"/>
                <w:b w:val="0"/>
                <w:bCs w:val="0"/>
                <w:szCs w:val="24"/>
              </w:rPr>
            </w:pPr>
            <w:r>
              <w:rPr>
                <w:rFonts w:cs="Times New Roman"/>
                <w:b/>
                <w:bCs/>
                <w:szCs w:val="24"/>
              </w:rPr>
              <w:t>Valid</w:t>
            </w:r>
          </w:p>
        </w:tc>
        <w:tc>
          <w:tcPr>
            <w:tcW w:w="2007" w:type="dxa"/>
          </w:tcPr>
          <w:p>
            <w:pPr>
              <w:spacing w:line="360" w:lineRule="auto"/>
              <w:ind w:left="60" w:right="60"/>
              <w:jc w:val="both"/>
              <w:rPr>
                <w:rFonts w:cs="Times New Roman"/>
                <w:szCs w:val="24"/>
              </w:rPr>
            </w:pPr>
            <w:r>
              <w:rPr>
                <w:rFonts w:cs="Times New Roman"/>
                <w:szCs w:val="24"/>
              </w:rPr>
              <w:t>Within last 3 years</w:t>
            </w:r>
          </w:p>
        </w:tc>
        <w:tc>
          <w:tcPr>
            <w:tcW w:w="1679" w:type="dxa"/>
            <w:gridSpan w:val="2"/>
          </w:tcPr>
          <w:p>
            <w:pPr>
              <w:spacing w:line="360" w:lineRule="auto"/>
              <w:ind w:left="60" w:right="60"/>
              <w:jc w:val="both"/>
              <w:rPr>
                <w:rFonts w:cs="Times New Roman"/>
                <w:szCs w:val="24"/>
              </w:rPr>
            </w:pPr>
            <w:r>
              <w:rPr>
                <w:rFonts w:cs="Times New Roman"/>
                <w:szCs w:val="24"/>
              </w:rPr>
              <w:t>113</w:t>
            </w:r>
          </w:p>
        </w:tc>
        <w:tc>
          <w:tcPr>
            <w:tcW w:w="1108" w:type="dxa"/>
          </w:tcPr>
          <w:p>
            <w:pPr>
              <w:spacing w:line="360" w:lineRule="auto"/>
              <w:ind w:left="60" w:right="60"/>
              <w:jc w:val="both"/>
              <w:rPr>
                <w:rFonts w:cs="Times New Roman"/>
                <w:szCs w:val="24"/>
              </w:rPr>
            </w:pPr>
            <w:r>
              <w:rPr>
                <w:rFonts w:cs="Times New Roman"/>
                <w:szCs w:val="24"/>
              </w:rPr>
              <w:t>45.2</w:t>
            </w:r>
          </w:p>
        </w:tc>
        <w:tc>
          <w:tcPr>
            <w:tcW w:w="1559" w:type="dxa"/>
          </w:tcPr>
          <w:p>
            <w:pPr>
              <w:spacing w:line="360" w:lineRule="auto"/>
              <w:ind w:left="60" w:right="60"/>
              <w:jc w:val="both"/>
              <w:rPr>
                <w:rFonts w:cs="Times New Roman"/>
                <w:szCs w:val="24"/>
              </w:rPr>
            </w:pPr>
            <w:r>
              <w:rPr>
                <w:rFonts w:cs="Times New Roman"/>
                <w:szCs w:val="24"/>
              </w:rPr>
              <w:t>45.2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3" w:hRule="atLeast"/>
        </w:trPr>
        <w:tc>
          <w:tcPr>
            <w:tcW w:w="990" w:type="dxa"/>
            <w:vMerge w:val="continue"/>
          </w:tcPr>
          <w:p>
            <w:pPr>
              <w:spacing w:line="360" w:lineRule="auto"/>
              <w:jc w:val="both"/>
              <w:rPr>
                <w:rFonts w:cs="Times New Roman"/>
                <w:b w:val="0"/>
                <w:bCs w:val="0"/>
                <w:szCs w:val="24"/>
              </w:rPr>
            </w:pPr>
          </w:p>
        </w:tc>
        <w:tc>
          <w:tcPr>
            <w:tcW w:w="2007" w:type="dxa"/>
          </w:tcPr>
          <w:p>
            <w:pPr>
              <w:spacing w:line="360" w:lineRule="auto"/>
              <w:ind w:left="60" w:right="60"/>
              <w:jc w:val="both"/>
              <w:rPr>
                <w:rFonts w:cs="Times New Roman"/>
                <w:szCs w:val="24"/>
              </w:rPr>
            </w:pPr>
            <w:r>
              <w:rPr>
                <w:rFonts w:cs="Times New Roman"/>
                <w:szCs w:val="24"/>
              </w:rPr>
              <w:t>3 – 5 years ago</w:t>
            </w:r>
          </w:p>
        </w:tc>
        <w:tc>
          <w:tcPr>
            <w:tcW w:w="1679" w:type="dxa"/>
            <w:gridSpan w:val="2"/>
          </w:tcPr>
          <w:p>
            <w:pPr>
              <w:spacing w:line="360" w:lineRule="auto"/>
              <w:ind w:left="60" w:right="60"/>
              <w:jc w:val="both"/>
              <w:rPr>
                <w:rFonts w:cs="Times New Roman"/>
                <w:szCs w:val="24"/>
              </w:rPr>
            </w:pPr>
            <w:r>
              <w:rPr>
                <w:rFonts w:cs="Times New Roman"/>
                <w:szCs w:val="24"/>
              </w:rPr>
              <w:t>109</w:t>
            </w:r>
          </w:p>
        </w:tc>
        <w:tc>
          <w:tcPr>
            <w:tcW w:w="1108" w:type="dxa"/>
          </w:tcPr>
          <w:p>
            <w:pPr>
              <w:spacing w:line="360" w:lineRule="auto"/>
              <w:ind w:left="60" w:right="60"/>
              <w:jc w:val="both"/>
              <w:rPr>
                <w:rFonts w:cs="Times New Roman"/>
                <w:szCs w:val="24"/>
              </w:rPr>
            </w:pPr>
            <w:r>
              <w:rPr>
                <w:rFonts w:cs="Times New Roman"/>
                <w:szCs w:val="24"/>
              </w:rPr>
              <w:t>43.6</w:t>
            </w:r>
          </w:p>
        </w:tc>
        <w:tc>
          <w:tcPr>
            <w:tcW w:w="1559" w:type="dxa"/>
          </w:tcPr>
          <w:p>
            <w:pPr>
              <w:spacing w:line="360" w:lineRule="auto"/>
              <w:ind w:left="60" w:right="60"/>
              <w:jc w:val="both"/>
              <w:rPr>
                <w:rFonts w:cs="Times New Roman"/>
                <w:szCs w:val="24"/>
              </w:rPr>
            </w:pPr>
            <w:r>
              <w:rPr>
                <w:rFonts w:cs="Times New Roman"/>
                <w:szCs w:val="24"/>
              </w:rPr>
              <w:t>88.8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990" w:type="dxa"/>
            <w:vMerge w:val="continue"/>
          </w:tcPr>
          <w:p>
            <w:pPr>
              <w:spacing w:line="360" w:lineRule="auto"/>
              <w:jc w:val="both"/>
              <w:rPr>
                <w:rFonts w:cs="Times New Roman"/>
                <w:b w:val="0"/>
                <w:bCs w:val="0"/>
                <w:szCs w:val="24"/>
              </w:rPr>
            </w:pPr>
          </w:p>
        </w:tc>
        <w:tc>
          <w:tcPr>
            <w:tcW w:w="2007" w:type="dxa"/>
            <w:tcBorders>
              <w:bottom w:val="single" w:color="auto" w:sz="4" w:space="0"/>
            </w:tcBorders>
          </w:tcPr>
          <w:p>
            <w:pPr>
              <w:spacing w:line="360" w:lineRule="auto"/>
              <w:ind w:left="60" w:right="60"/>
              <w:jc w:val="both"/>
              <w:rPr>
                <w:rFonts w:cs="Times New Roman"/>
                <w:szCs w:val="24"/>
              </w:rPr>
            </w:pPr>
            <w:r>
              <w:rPr>
                <w:rFonts w:cs="Times New Roman"/>
                <w:szCs w:val="24"/>
              </w:rPr>
              <w:t>Over 10 years ago</w:t>
            </w:r>
          </w:p>
        </w:tc>
        <w:tc>
          <w:tcPr>
            <w:tcW w:w="1679" w:type="dxa"/>
            <w:gridSpan w:val="2"/>
            <w:tcBorders>
              <w:bottom w:val="single" w:color="auto" w:sz="4" w:space="0"/>
            </w:tcBorders>
          </w:tcPr>
          <w:p>
            <w:pPr>
              <w:spacing w:line="360" w:lineRule="auto"/>
              <w:ind w:left="60" w:right="60"/>
              <w:jc w:val="both"/>
              <w:rPr>
                <w:rFonts w:cs="Times New Roman"/>
                <w:szCs w:val="24"/>
              </w:rPr>
            </w:pPr>
            <w:r>
              <w:rPr>
                <w:rFonts w:cs="Times New Roman"/>
                <w:szCs w:val="24"/>
              </w:rPr>
              <w:t>28</w:t>
            </w:r>
          </w:p>
        </w:tc>
        <w:tc>
          <w:tcPr>
            <w:tcW w:w="1108" w:type="dxa"/>
            <w:tcBorders>
              <w:bottom w:val="single" w:color="auto" w:sz="4" w:space="0"/>
            </w:tcBorders>
          </w:tcPr>
          <w:p>
            <w:pPr>
              <w:spacing w:line="360" w:lineRule="auto"/>
              <w:ind w:left="60" w:right="60"/>
              <w:jc w:val="both"/>
              <w:rPr>
                <w:rFonts w:cs="Times New Roman"/>
                <w:szCs w:val="24"/>
              </w:rPr>
            </w:pPr>
            <w:r>
              <w:rPr>
                <w:rFonts w:cs="Times New Roman"/>
                <w:szCs w:val="24"/>
              </w:rPr>
              <w:t>11.2</w:t>
            </w:r>
          </w:p>
        </w:tc>
        <w:tc>
          <w:tcPr>
            <w:tcW w:w="1559" w:type="dxa"/>
            <w:tcBorders>
              <w:bottom w:val="single" w:color="auto" w:sz="4" w:space="0"/>
            </w:tcBorders>
          </w:tcPr>
          <w:p>
            <w:pPr>
              <w:spacing w:line="360" w:lineRule="auto"/>
              <w:ind w:left="60" w:right="60"/>
              <w:jc w:val="both"/>
              <w:rPr>
                <w:rFonts w:cs="Times New Roman"/>
                <w:szCs w:val="24"/>
              </w:rPr>
            </w:pPr>
            <w:r>
              <w:rPr>
                <w:rFonts w:cs="Times New Roman"/>
                <w:szCs w:val="24"/>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 w:hRule="atLeast"/>
        </w:trPr>
        <w:tc>
          <w:tcPr>
            <w:tcW w:w="990" w:type="dxa"/>
            <w:vMerge w:val="continue"/>
          </w:tcPr>
          <w:p>
            <w:pPr>
              <w:spacing w:line="360" w:lineRule="auto"/>
              <w:jc w:val="both"/>
              <w:rPr>
                <w:rFonts w:cs="Times New Roman"/>
                <w:b w:val="0"/>
                <w:bCs w:val="0"/>
                <w:szCs w:val="24"/>
              </w:rPr>
            </w:pPr>
          </w:p>
        </w:tc>
        <w:tc>
          <w:tcPr>
            <w:tcW w:w="2007"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Total</w:t>
            </w:r>
          </w:p>
        </w:tc>
        <w:tc>
          <w:tcPr>
            <w:tcW w:w="1679" w:type="dxa"/>
            <w:gridSpan w:val="2"/>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c>
          <w:tcPr>
            <w:tcW w:w="1108"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100.0</w:t>
            </w:r>
          </w:p>
        </w:tc>
        <w:tc>
          <w:tcPr>
            <w:tcW w:w="1559" w:type="dxa"/>
            <w:tcBorders>
              <w:top w:val="single" w:color="auto" w:sz="4" w:space="0"/>
              <w:bottom w:val="single" w:color="auto" w:sz="4" w:space="0"/>
            </w:tcBorders>
          </w:tcPr>
          <w:p>
            <w:pPr>
              <w:spacing w:line="360" w:lineRule="auto"/>
              <w:jc w:val="both"/>
              <w:rPr>
                <w:rFonts w:cs="Times New Roman"/>
                <w:szCs w:val="24"/>
              </w:rPr>
            </w:pPr>
          </w:p>
        </w:tc>
      </w:tr>
    </w:tbl>
    <w:p>
      <w:pPr>
        <w:spacing w:line="360" w:lineRule="auto"/>
        <w:ind w:left="4320" w:firstLine="720"/>
        <w:jc w:val="both"/>
        <w:rPr>
          <w:rFonts w:cs="Times New Roman"/>
          <w:i/>
          <w:iCs/>
          <w:sz w:val="22"/>
          <w:szCs w:val="22"/>
        </w:rPr>
      </w:pPr>
      <w:r>
        <w:rPr>
          <w:rFonts w:cs="Times New Roman"/>
          <w:i/>
          <w:iCs/>
          <w:sz w:val="22"/>
          <w:szCs w:val="22"/>
        </w:rPr>
        <w:t>Source: survey data</w:t>
      </w:r>
    </w:p>
    <w:p>
      <w:pPr>
        <w:tabs>
          <w:tab w:val="left" w:pos="7909"/>
        </w:tabs>
        <w:spacing w:after="160" w:line="360" w:lineRule="auto"/>
        <w:jc w:val="both"/>
        <w:rPr>
          <w:rFonts w:cs="Times New Roman"/>
          <w:b/>
          <w:szCs w:val="24"/>
        </w:rPr>
      </w:pPr>
      <w:r>
        <w:rPr>
          <w:rFonts w:cs="Times New Roman"/>
          <w:szCs w:val="24"/>
        </w:rPr>
        <w:tab/>
      </w:r>
    </w:p>
    <w:p>
      <w:pPr>
        <w:spacing w:line="360" w:lineRule="auto"/>
        <w:jc w:val="both"/>
        <w:rPr>
          <w:rFonts w:cs="Times New Roman"/>
          <w:szCs w:val="24"/>
        </w:rPr>
      </w:pPr>
      <w:r>
        <w:rPr>
          <w:rFonts w:cs="Times New Roman"/>
          <w:szCs w:val="24"/>
        </w:rPr>
        <w:t xml:space="preserve">According to the table 2, Majority of respondents were within last 3 years in operation which is 113 respondents representing 45.2 % from total respondents. Minority of respondents were Over 10 years ago which is 28 respondents representing 11.2% from total respondents. </w:t>
      </w:r>
      <w:bookmarkStart w:id="58" w:name="_Toc122095170"/>
    </w:p>
    <w:p>
      <w:pPr>
        <w:spacing w:line="360" w:lineRule="auto"/>
        <w:jc w:val="both"/>
        <w:rPr>
          <w:rFonts w:cs="Times New Roman"/>
          <w:szCs w:val="24"/>
        </w:rPr>
      </w:pPr>
    </w:p>
    <w:p>
      <w:pPr>
        <w:pStyle w:val="9"/>
        <w:keepNext/>
        <w:spacing w:line="360" w:lineRule="auto"/>
        <w:rPr>
          <w:rFonts w:cs="Times New Roman"/>
          <w:i w:val="0"/>
          <w:szCs w:val="24"/>
        </w:rPr>
      </w:pPr>
      <w:r>
        <w:rPr>
          <w:rFonts w:cs="Times New Roman"/>
          <w:i w:val="0"/>
          <w:szCs w:val="24"/>
        </w:rPr>
        <w:t xml:space="preserve">Table 3: Demographic characteristic: </w:t>
      </w:r>
      <w:bookmarkEnd w:id="58"/>
      <w:r>
        <w:rPr>
          <w:rFonts w:cs="Times New Roman"/>
          <w:i w:val="0"/>
          <w:szCs w:val="24"/>
        </w:rPr>
        <w:t>Gender of Entrepreneur</w:t>
      </w:r>
    </w:p>
    <w:tbl>
      <w:tblPr>
        <w:tblStyle w:val="27"/>
        <w:tblW w:w="744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71"/>
        <w:gridCol w:w="1061"/>
        <w:gridCol w:w="1626"/>
        <w:gridCol w:w="1433"/>
        <w:gridCol w:w="20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6" w:hRule="atLeast"/>
        </w:trPr>
        <w:tc>
          <w:tcPr>
            <w:tcW w:w="2332" w:type="dxa"/>
            <w:gridSpan w:val="2"/>
            <w:tcBorders>
              <w:top w:val="single" w:color="auto" w:sz="4" w:space="0"/>
              <w:bottom w:val="single" w:color="666666" w:themeColor="text1" w:themeTint="99" w:sz="12" w:space="0"/>
              <w:insideH w:val="single" w:sz="12" w:space="0"/>
            </w:tcBorders>
            <w:shd w:val="clear" w:color="auto" w:fill="E7E6E6" w:themeFill="background2"/>
          </w:tcPr>
          <w:p>
            <w:pPr>
              <w:spacing w:line="360" w:lineRule="auto"/>
              <w:jc w:val="both"/>
              <w:rPr>
                <w:rFonts w:cs="Times New Roman"/>
                <w:b w:val="0"/>
                <w:bCs w:val="0"/>
                <w:szCs w:val="24"/>
              </w:rPr>
            </w:pPr>
          </w:p>
        </w:tc>
        <w:tc>
          <w:tcPr>
            <w:tcW w:w="1626" w:type="dxa"/>
            <w:tcBorders>
              <w:top w:val="single" w:color="auto" w:sz="4" w:space="0"/>
              <w:bottom w:val="single" w:color="666666" w:themeColor="tex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Frequency</w:t>
            </w:r>
          </w:p>
        </w:tc>
        <w:tc>
          <w:tcPr>
            <w:tcW w:w="1433" w:type="dxa"/>
            <w:tcBorders>
              <w:top w:val="single" w:color="auto" w:sz="4" w:space="0"/>
              <w:bottom w:val="single" w:color="666666" w:themeColor="tex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Percent</w:t>
            </w:r>
          </w:p>
        </w:tc>
        <w:tc>
          <w:tcPr>
            <w:tcW w:w="2058" w:type="dxa"/>
            <w:tcBorders>
              <w:top w:val="single" w:color="auto" w:sz="4" w:space="0"/>
              <w:bottom w:val="single" w:color="666666" w:themeColor="tex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Cumulative Percent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 w:hRule="atLeast"/>
        </w:trPr>
        <w:tc>
          <w:tcPr>
            <w:tcW w:w="1271" w:type="dxa"/>
            <w:vMerge w:val="restart"/>
          </w:tcPr>
          <w:p>
            <w:pPr>
              <w:spacing w:line="360" w:lineRule="auto"/>
              <w:ind w:left="60" w:right="60"/>
              <w:jc w:val="both"/>
              <w:rPr>
                <w:rFonts w:cs="Times New Roman"/>
                <w:b w:val="0"/>
                <w:bCs w:val="0"/>
                <w:szCs w:val="24"/>
              </w:rPr>
            </w:pPr>
            <w:r>
              <w:rPr>
                <w:rFonts w:cs="Times New Roman"/>
                <w:b/>
                <w:bCs/>
                <w:szCs w:val="24"/>
              </w:rPr>
              <w:t>Valid</w:t>
            </w:r>
          </w:p>
        </w:tc>
        <w:tc>
          <w:tcPr>
            <w:tcW w:w="1061" w:type="dxa"/>
          </w:tcPr>
          <w:p>
            <w:pPr>
              <w:spacing w:line="360" w:lineRule="auto"/>
              <w:ind w:left="60" w:right="60"/>
              <w:jc w:val="both"/>
              <w:rPr>
                <w:rFonts w:cs="Times New Roman"/>
                <w:szCs w:val="24"/>
              </w:rPr>
            </w:pPr>
            <w:r>
              <w:rPr>
                <w:rFonts w:cs="Times New Roman"/>
                <w:szCs w:val="24"/>
              </w:rPr>
              <w:t>Male</w:t>
            </w:r>
          </w:p>
        </w:tc>
        <w:tc>
          <w:tcPr>
            <w:tcW w:w="1626" w:type="dxa"/>
          </w:tcPr>
          <w:p>
            <w:pPr>
              <w:spacing w:line="360" w:lineRule="auto"/>
              <w:ind w:left="60" w:right="60"/>
              <w:jc w:val="both"/>
              <w:rPr>
                <w:rFonts w:cs="Times New Roman"/>
                <w:szCs w:val="24"/>
              </w:rPr>
            </w:pPr>
            <w:r>
              <w:rPr>
                <w:rFonts w:cs="Times New Roman"/>
                <w:szCs w:val="24"/>
              </w:rPr>
              <w:t>177</w:t>
            </w:r>
          </w:p>
        </w:tc>
        <w:tc>
          <w:tcPr>
            <w:tcW w:w="1433" w:type="dxa"/>
          </w:tcPr>
          <w:p>
            <w:pPr>
              <w:spacing w:line="360" w:lineRule="auto"/>
              <w:ind w:left="60" w:right="60"/>
              <w:jc w:val="both"/>
              <w:rPr>
                <w:rFonts w:cs="Times New Roman"/>
                <w:szCs w:val="24"/>
              </w:rPr>
            </w:pPr>
            <w:r>
              <w:rPr>
                <w:rFonts w:cs="Times New Roman"/>
                <w:szCs w:val="24"/>
              </w:rPr>
              <w:t>70.8</w:t>
            </w:r>
          </w:p>
        </w:tc>
        <w:tc>
          <w:tcPr>
            <w:tcW w:w="2058" w:type="dxa"/>
          </w:tcPr>
          <w:p>
            <w:pPr>
              <w:spacing w:line="360" w:lineRule="auto"/>
              <w:ind w:left="60" w:right="60"/>
              <w:jc w:val="both"/>
              <w:rPr>
                <w:rFonts w:cs="Times New Roman"/>
                <w:szCs w:val="24"/>
              </w:rPr>
            </w:pPr>
            <w:r>
              <w:rPr>
                <w:rFonts w:cs="Times New Roman"/>
                <w:szCs w:val="24"/>
              </w:rPr>
              <w:t>70.8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1271" w:type="dxa"/>
            <w:vMerge w:val="continue"/>
          </w:tcPr>
          <w:p>
            <w:pPr>
              <w:spacing w:line="360" w:lineRule="auto"/>
              <w:jc w:val="both"/>
              <w:rPr>
                <w:rFonts w:cs="Times New Roman"/>
                <w:b w:val="0"/>
                <w:bCs w:val="0"/>
                <w:szCs w:val="24"/>
              </w:rPr>
            </w:pPr>
          </w:p>
        </w:tc>
        <w:tc>
          <w:tcPr>
            <w:tcW w:w="1061" w:type="dxa"/>
            <w:tcBorders>
              <w:bottom w:val="single" w:color="auto" w:sz="4" w:space="0"/>
            </w:tcBorders>
          </w:tcPr>
          <w:p>
            <w:pPr>
              <w:spacing w:line="360" w:lineRule="auto"/>
              <w:ind w:left="60" w:right="60"/>
              <w:jc w:val="both"/>
              <w:rPr>
                <w:rFonts w:cs="Times New Roman"/>
                <w:szCs w:val="24"/>
              </w:rPr>
            </w:pPr>
            <w:r>
              <w:rPr>
                <w:rFonts w:cs="Times New Roman"/>
                <w:szCs w:val="24"/>
              </w:rPr>
              <w:t>Female</w:t>
            </w:r>
          </w:p>
        </w:tc>
        <w:tc>
          <w:tcPr>
            <w:tcW w:w="1626" w:type="dxa"/>
            <w:tcBorders>
              <w:bottom w:val="single" w:color="auto" w:sz="4" w:space="0"/>
            </w:tcBorders>
          </w:tcPr>
          <w:p>
            <w:pPr>
              <w:spacing w:line="360" w:lineRule="auto"/>
              <w:ind w:left="60" w:right="60"/>
              <w:jc w:val="both"/>
              <w:rPr>
                <w:rFonts w:cs="Times New Roman"/>
                <w:szCs w:val="24"/>
              </w:rPr>
            </w:pPr>
            <w:r>
              <w:rPr>
                <w:rFonts w:cs="Times New Roman"/>
                <w:szCs w:val="24"/>
              </w:rPr>
              <w:t>73</w:t>
            </w:r>
          </w:p>
        </w:tc>
        <w:tc>
          <w:tcPr>
            <w:tcW w:w="1433" w:type="dxa"/>
            <w:tcBorders>
              <w:bottom w:val="single" w:color="auto" w:sz="4" w:space="0"/>
            </w:tcBorders>
          </w:tcPr>
          <w:p>
            <w:pPr>
              <w:spacing w:line="360" w:lineRule="auto"/>
              <w:ind w:left="60" w:right="60"/>
              <w:jc w:val="both"/>
              <w:rPr>
                <w:rFonts w:cs="Times New Roman"/>
                <w:szCs w:val="24"/>
              </w:rPr>
            </w:pPr>
            <w:r>
              <w:rPr>
                <w:rFonts w:cs="Times New Roman"/>
                <w:szCs w:val="24"/>
              </w:rPr>
              <w:t>29.2</w:t>
            </w:r>
          </w:p>
        </w:tc>
        <w:tc>
          <w:tcPr>
            <w:tcW w:w="2058" w:type="dxa"/>
            <w:tcBorders>
              <w:bottom w:val="single" w:color="auto" w:sz="4" w:space="0"/>
            </w:tcBorders>
          </w:tcPr>
          <w:p>
            <w:pPr>
              <w:spacing w:line="360" w:lineRule="auto"/>
              <w:ind w:left="60" w:right="60"/>
              <w:jc w:val="both"/>
              <w:rPr>
                <w:rFonts w:cs="Times New Roman"/>
                <w:szCs w:val="24"/>
              </w:rPr>
            </w:pPr>
            <w:r>
              <w:rPr>
                <w:rFonts w:cs="Times New Roman"/>
                <w:szCs w:val="24"/>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trPr>
        <w:tc>
          <w:tcPr>
            <w:tcW w:w="1271" w:type="dxa"/>
            <w:vMerge w:val="continue"/>
          </w:tcPr>
          <w:p>
            <w:pPr>
              <w:spacing w:line="360" w:lineRule="auto"/>
              <w:jc w:val="both"/>
              <w:rPr>
                <w:rFonts w:cs="Times New Roman"/>
                <w:b w:val="0"/>
                <w:bCs w:val="0"/>
                <w:szCs w:val="24"/>
              </w:rPr>
            </w:pPr>
          </w:p>
        </w:tc>
        <w:tc>
          <w:tcPr>
            <w:tcW w:w="1061"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Total</w:t>
            </w:r>
          </w:p>
        </w:tc>
        <w:tc>
          <w:tcPr>
            <w:tcW w:w="1626"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c>
          <w:tcPr>
            <w:tcW w:w="1433"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100.0</w:t>
            </w:r>
          </w:p>
        </w:tc>
        <w:tc>
          <w:tcPr>
            <w:tcW w:w="2058" w:type="dxa"/>
            <w:tcBorders>
              <w:top w:val="single" w:color="auto" w:sz="4" w:space="0"/>
              <w:bottom w:val="single" w:color="auto" w:sz="4" w:space="0"/>
            </w:tcBorders>
          </w:tcPr>
          <w:p>
            <w:pPr>
              <w:spacing w:line="360" w:lineRule="auto"/>
              <w:jc w:val="both"/>
              <w:rPr>
                <w:rFonts w:cs="Times New Roman"/>
                <w:szCs w:val="24"/>
              </w:rPr>
            </w:pPr>
          </w:p>
        </w:tc>
      </w:tr>
    </w:tbl>
    <w:p>
      <w:pPr>
        <w:spacing w:line="360" w:lineRule="auto"/>
        <w:jc w:val="both"/>
        <w:rPr>
          <w:rFonts w:cs="Times New Roman"/>
          <w:i/>
          <w:iCs/>
          <w:szCs w:val="24"/>
        </w:rPr>
      </w:pPr>
      <w:r>
        <w:rPr>
          <w:rFonts w:cs="Times New Roman"/>
          <w:i/>
          <w:iCs/>
          <w:szCs w:val="24"/>
        </w:rPr>
        <w:t>Source: survey data</w:t>
      </w:r>
    </w:p>
    <w:p>
      <w:pPr>
        <w:spacing w:line="360" w:lineRule="auto"/>
        <w:jc w:val="both"/>
        <w:rPr>
          <w:rFonts w:cs="Times New Roman"/>
          <w:szCs w:val="24"/>
        </w:rPr>
      </w:pPr>
      <w:r>
        <w:rPr>
          <w:rFonts w:cs="Times New Roman"/>
          <w:szCs w:val="24"/>
        </w:rPr>
        <w:t>250 respondents from the Micro, Small, and Medium Enterprise in the Service Sector located in the Colombo district received the questionnaire at random. Out of 250 responses, 177 were men and 73 were women, making up 70.8% and 29.2% of the total respectively.</w:t>
      </w:r>
      <w:r>
        <w:rPr>
          <w:rFonts w:cs="Times New Roman"/>
          <w:szCs w:val="24"/>
        </w:rPr>
        <w:tab/>
      </w:r>
    </w:p>
    <w:p>
      <w:pPr>
        <w:spacing w:line="360" w:lineRule="auto"/>
        <w:jc w:val="both"/>
        <w:rPr>
          <w:rFonts w:cs="Times New Roman"/>
          <w:szCs w:val="24"/>
        </w:rPr>
      </w:pPr>
    </w:p>
    <w:p>
      <w:pPr>
        <w:spacing w:line="360" w:lineRule="auto"/>
        <w:jc w:val="both"/>
        <w:rPr>
          <w:rFonts w:cs="Times New Roman"/>
          <w:szCs w:val="24"/>
        </w:rPr>
      </w:pPr>
    </w:p>
    <w:p>
      <w:pPr>
        <w:pStyle w:val="9"/>
        <w:keepNext/>
        <w:spacing w:line="360" w:lineRule="auto"/>
        <w:rPr>
          <w:rFonts w:cs="Times New Roman"/>
          <w:i w:val="0"/>
          <w:szCs w:val="24"/>
        </w:rPr>
      </w:pPr>
      <w:bookmarkStart w:id="59" w:name="_Toc122095171"/>
      <w:r>
        <w:rPr>
          <w:rFonts w:cs="Times New Roman"/>
          <w:i w:val="0"/>
          <w:szCs w:val="24"/>
        </w:rPr>
        <w:t>Table 4: Demographic characteristic:</w:t>
      </w:r>
      <w:r>
        <w:rPr>
          <w:rFonts w:cs="Times New Roman"/>
        </w:rPr>
        <w:t xml:space="preserve"> </w:t>
      </w:r>
      <w:r>
        <w:rPr>
          <w:rFonts w:cs="Times New Roman"/>
          <w:i w:val="0"/>
          <w:szCs w:val="24"/>
        </w:rPr>
        <w:t>Age of Entrepreneur (years)</w:t>
      </w:r>
      <w:bookmarkEnd w:id="59"/>
    </w:p>
    <w:tbl>
      <w:tblPr>
        <w:tblStyle w:val="26"/>
        <w:tblW w:w="7276"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8"/>
        <w:gridCol w:w="1003"/>
        <w:gridCol w:w="1611"/>
        <w:gridCol w:w="1356"/>
        <w:gridCol w:w="2038"/>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trPr>
        <w:tc>
          <w:tcPr>
            <w:tcW w:w="2271" w:type="dxa"/>
            <w:gridSpan w:val="2"/>
            <w:tcBorders>
              <w:bottom w:val="single" w:color="8EAADB" w:themeColor="accent1" w:themeTint="99" w:sz="12" w:space="0"/>
              <w:insideH w:val="single" w:sz="12" w:space="0"/>
            </w:tcBorders>
            <w:shd w:val="clear" w:color="auto" w:fill="E7E6E6" w:themeFill="background2"/>
          </w:tcPr>
          <w:p>
            <w:pPr>
              <w:spacing w:line="360" w:lineRule="auto"/>
              <w:jc w:val="both"/>
              <w:rPr>
                <w:rFonts w:cs="Times New Roman"/>
                <w:b w:val="0"/>
                <w:bCs w:val="0"/>
                <w:szCs w:val="24"/>
              </w:rPr>
            </w:pPr>
          </w:p>
        </w:tc>
        <w:tc>
          <w:tcPr>
            <w:tcW w:w="1611" w:type="dxa"/>
            <w:tcBorders>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Frequency</w:t>
            </w:r>
          </w:p>
        </w:tc>
        <w:tc>
          <w:tcPr>
            <w:tcW w:w="1356" w:type="dxa"/>
            <w:tcBorders>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Percent</w:t>
            </w:r>
          </w:p>
        </w:tc>
        <w:tc>
          <w:tcPr>
            <w:tcW w:w="2038" w:type="dxa"/>
            <w:tcBorders>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Cumulative Percent</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 w:hRule="atLeast"/>
        </w:trPr>
        <w:tc>
          <w:tcPr>
            <w:tcW w:w="1268" w:type="dxa"/>
            <w:vMerge w:val="restart"/>
          </w:tcPr>
          <w:p>
            <w:pPr>
              <w:spacing w:line="360" w:lineRule="auto"/>
              <w:ind w:left="60" w:right="60"/>
              <w:jc w:val="both"/>
              <w:rPr>
                <w:rFonts w:cs="Times New Roman"/>
                <w:b w:val="0"/>
                <w:bCs w:val="0"/>
                <w:szCs w:val="24"/>
              </w:rPr>
            </w:pPr>
            <w:r>
              <w:rPr>
                <w:rFonts w:cs="Times New Roman"/>
                <w:b/>
                <w:bCs/>
                <w:szCs w:val="24"/>
              </w:rPr>
              <w:t>Valid</w:t>
            </w:r>
          </w:p>
        </w:tc>
        <w:tc>
          <w:tcPr>
            <w:tcW w:w="1003" w:type="dxa"/>
          </w:tcPr>
          <w:p>
            <w:pPr>
              <w:spacing w:line="360" w:lineRule="auto"/>
              <w:ind w:left="60" w:right="60"/>
              <w:jc w:val="both"/>
              <w:rPr>
                <w:rFonts w:cs="Times New Roman"/>
                <w:szCs w:val="24"/>
              </w:rPr>
            </w:pPr>
            <w:r>
              <w:rPr>
                <w:rFonts w:cs="Times New Roman"/>
                <w:szCs w:val="24"/>
              </w:rPr>
              <w:t>18-30</w:t>
            </w:r>
          </w:p>
        </w:tc>
        <w:tc>
          <w:tcPr>
            <w:tcW w:w="1611" w:type="dxa"/>
          </w:tcPr>
          <w:p>
            <w:pPr>
              <w:spacing w:line="360" w:lineRule="auto"/>
              <w:ind w:left="60" w:right="60"/>
              <w:jc w:val="both"/>
              <w:rPr>
                <w:rFonts w:cs="Times New Roman"/>
                <w:szCs w:val="24"/>
              </w:rPr>
            </w:pPr>
            <w:r>
              <w:rPr>
                <w:rFonts w:cs="Times New Roman"/>
                <w:szCs w:val="24"/>
              </w:rPr>
              <w:t>102</w:t>
            </w:r>
          </w:p>
        </w:tc>
        <w:tc>
          <w:tcPr>
            <w:tcW w:w="1356" w:type="dxa"/>
          </w:tcPr>
          <w:p>
            <w:pPr>
              <w:spacing w:line="360" w:lineRule="auto"/>
              <w:ind w:left="60" w:right="60"/>
              <w:jc w:val="both"/>
              <w:rPr>
                <w:rFonts w:cs="Times New Roman"/>
                <w:szCs w:val="24"/>
              </w:rPr>
            </w:pPr>
            <w:r>
              <w:rPr>
                <w:rFonts w:cs="Times New Roman"/>
                <w:szCs w:val="24"/>
              </w:rPr>
              <w:t>40.8</w:t>
            </w:r>
          </w:p>
        </w:tc>
        <w:tc>
          <w:tcPr>
            <w:tcW w:w="2038" w:type="dxa"/>
          </w:tcPr>
          <w:p>
            <w:pPr>
              <w:spacing w:line="360" w:lineRule="auto"/>
              <w:ind w:left="60" w:right="60"/>
              <w:jc w:val="both"/>
              <w:rPr>
                <w:rFonts w:cs="Times New Roman"/>
                <w:szCs w:val="24"/>
              </w:rPr>
            </w:pPr>
            <w:r>
              <w:rPr>
                <w:rFonts w:cs="Times New Roman"/>
                <w:szCs w:val="24"/>
              </w:rPr>
              <w:t>40.8</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1" w:hRule="atLeast"/>
        </w:trPr>
        <w:tc>
          <w:tcPr>
            <w:tcW w:w="1268" w:type="dxa"/>
            <w:vMerge w:val="continue"/>
          </w:tcPr>
          <w:p>
            <w:pPr>
              <w:spacing w:line="360" w:lineRule="auto"/>
              <w:jc w:val="both"/>
              <w:rPr>
                <w:rFonts w:cs="Times New Roman"/>
                <w:b w:val="0"/>
                <w:bCs w:val="0"/>
                <w:szCs w:val="24"/>
              </w:rPr>
            </w:pPr>
          </w:p>
        </w:tc>
        <w:tc>
          <w:tcPr>
            <w:tcW w:w="1003" w:type="dxa"/>
          </w:tcPr>
          <w:p>
            <w:pPr>
              <w:spacing w:line="360" w:lineRule="auto"/>
              <w:ind w:left="60" w:right="60"/>
              <w:jc w:val="both"/>
              <w:rPr>
                <w:rFonts w:cs="Times New Roman"/>
                <w:szCs w:val="24"/>
              </w:rPr>
            </w:pPr>
            <w:r>
              <w:rPr>
                <w:rFonts w:cs="Times New Roman"/>
                <w:szCs w:val="24"/>
              </w:rPr>
              <w:t>31-45</w:t>
            </w:r>
          </w:p>
        </w:tc>
        <w:tc>
          <w:tcPr>
            <w:tcW w:w="1611" w:type="dxa"/>
          </w:tcPr>
          <w:p>
            <w:pPr>
              <w:spacing w:line="360" w:lineRule="auto"/>
              <w:ind w:left="60" w:right="60"/>
              <w:jc w:val="both"/>
              <w:rPr>
                <w:rFonts w:cs="Times New Roman"/>
                <w:szCs w:val="24"/>
              </w:rPr>
            </w:pPr>
            <w:r>
              <w:rPr>
                <w:rFonts w:cs="Times New Roman"/>
                <w:szCs w:val="24"/>
              </w:rPr>
              <w:t>100</w:t>
            </w:r>
          </w:p>
        </w:tc>
        <w:tc>
          <w:tcPr>
            <w:tcW w:w="1356" w:type="dxa"/>
          </w:tcPr>
          <w:p>
            <w:pPr>
              <w:spacing w:line="360" w:lineRule="auto"/>
              <w:ind w:left="60" w:right="60"/>
              <w:jc w:val="both"/>
              <w:rPr>
                <w:rFonts w:cs="Times New Roman"/>
                <w:szCs w:val="24"/>
              </w:rPr>
            </w:pPr>
            <w:r>
              <w:rPr>
                <w:rFonts w:cs="Times New Roman"/>
                <w:szCs w:val="24"/>
              </w:rPr>
              <w:t>40.0</w:t>
            </w:r>
          </w:p>
        </w:tc>
        <w:tc>
          <w:tcPr>
            <w:tcW w:w="2038" w:type="dxa"/>
          </w:tcPr>
          <w:p>
            <w:pPr>
              <w:spacing w:line="360" w:lineRule="auto"/>
              <w:ind w:left="60" w:right="60"/>
              <w:jc w:val="both"/>
              <w:rPr>
                <w:rFonts w:cs="Times New Roman"/>
                <w:szCs w:val="24"/>
              </w:rPr>
            </w:pPr>
            <w:r>
              <w:rPr>
                <w:rFonts w:cs="Times New Roman"/>
                <w:szCs w:val="24"/>
              </w:rPr>
              <w:t>80.8</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1" w:hRule="atLeast"/>
        </w:trPr>
        <w:tc>
          <w:tcPr>
            <w:tcW w:w="1268" w:type="dxa"/>
            <w:vMerge w:val="continue"/>
          </w:tcPr>
          <w:p>
            <w:pPr>
              <w:spacing w:line="360" w:lineRule="auto"/>
              <w:jc w:val="both"/>
              <w:rPr>
                <w:rFonts w:cs="Times New Roman"/>
                <w:b w:val="0"/>
                <w:bCs w:val="0"/>
                <w:szCs w:val="24"/>
              </w:rPr>
            </w:pPr>
          </w:p>
        </w:tc>
        <w:tc>
          <w:tcPr>
            <w:tcW w:w="1003" w:type="dxa"/>
          </w:tcPr>
          <w:p>
            <w:pPr>
              <w:spacing w:line="360" w:lineRule="auto"/>
              <w:ind w:left="60" w:right="60"/>
              <w:jc w:val="both"/>
              <w:rPr>
                <w:rFonts w:cs="Times New Roman"/>
                <w:szCs w:val="24"/>
              </w:rPr>
            </w:pPr>
            <w:r>
              <w:rPr>
                <w:rFonts w:cs="Times New Roman"/>
                <w:szCs w:val="24"/>
              </w:rPr>
              <w:t>46-60</w:t>
            </w:r>
          </w:p>
        </w:tc>
        <w:tc>
          <w:tcPr>
            <w:tcW w:w="1611" w:type="dxa"/>
          </w:tcPr>
          <w:p>
            <w:pPr>
              <w:spacing w:line="360" w:lineRule="auto"/>
              <w:ind w:left="60" w:right="60"/>
              <w:jc w:val="both"/>
              <w:rPr>
                <w:rFonts w:cs="Times New Roman"/>
                <w:szCs w:val="24"/>
              </w:rPr>
            </w:pPr>
            <w:r>
              <w:rPr>
                <w:rFonts w:cs="Times New Roman"/>
                <w:szCs w:val="24"/>
              </w:rPr>
              <w:t>37</w:t>
            </w:r>
          </w:p>
        </w:tc>
        <w:tc>
          <w:tcPr>
            <w:tcW w:w="1356" w:type="dxa"/>
          </w:tcPr>
          <w:p>
            <w:pPr>
              <w:spacing w:line="360" w:lineRule="auto"/>
              <w:ind w:left="60" w:right="60"/>
              <w:jc w:val="both"/>
              <w:rPr>
                <w:rFonts w:cs="Times New Roman"/>
                <w:szCs w:val="24"/>
              </w:rPr>
            </w:pPr>
            <w:r>
              <w:rPr>
                <w:rFonts w:cs="Times New Roman"/>
                <w:szCs w:val="24"/>
              </w:rPr>
              <w:t>14.8</w:t>
            </w:r>
          </w:p>
        </w:tc>
        <w:tc>
          <w:tcPr>
            <w:tcW w:w="2038" w:type="dxa"/>
          </w:tcPr>
          <w:p>
            <w:pPr>
              <w:spacing w:line="360" w:lineRule="auto"/>
              <w:ind w:left="60" w:right="60"/>
              <w:jc w:val="both"/>
              <w:rPr>
                <w:rFonts w:cs="Times New Roman"/>
                <w:szCs w:val="24"/>
              </w:rPr>
            </w:pPr>
            <w:r>
              <w:rPr>
                <w:rFonts w:cs="Times New Roman"/>
                <w:szCs w:val="24"/>
              </w:rPr>
              <w:t>95.6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1" w:hRule="atLeast"/>
        </w:trPr>
        <w:tc>
          <w:tcPr>
            <w:tcW w:w="1268" w:type="dxa"/>
            <w:vMerge w:val="continue"/>
          </w:tcPr>
          <w:p>
            <w:pPr>
              <w:spacing w:line="360" w:lineRule="auto"/>
              <w:jc w:val="both"/>
              <w:rPr>
                <w:rFonts w:cs="Times New Roman"/>
                <w:b w:val="0"/>
                <w:bCs w:val="0"/>
                <w:szCs w:val="24"/>
              </w:rPr>
            </w:pPr>
          </w:p>
        </w:tc>
        <w:tc>
          <w:tcPr>
            <w:tcW w:w="1003" w:type="dxa"/>
            <w:tcBorders>
              <w:bottom w:val="single" w:color="auto" w:sz="4" w:space="0"/>
            </w:tcBorders>
          </w:tcPr>
          <w:p>
            <w:pPr>
              <w:spacing w:line="360" w:lineRule="auto"/>
              <w:ind w:left="60" w:right="60"/>
              <w:jc w:val="both"/>
              <w:rPr>
                <w:rFonts w:cs="Times New Roman"/>
                <w:szCs w:val="24"/>
              </w:rPr>
            </w:pPr>
            <w:r>
              <w:rPr>
                <w:rFonts w:cs="Times New Roman"/>
                <w:szCs w:val="24"/>
              </w:rPr>
              <w:t>over 60</w:t>
            </w:r>
          </w:p>
        </w:tc>
        <w:tc>
          <w:tcPr>
            <w:tcW w:w="1611" w:type="dxa"/>
            <w:tcBorders>
              <w:bottom w:val="single" w:color="auto" w:sz="4" w:space="0"/>
            </w:tcBorders>
          </w:tcPr>
          <w:p>
            <w:pPr>
              <w:spacing w:line="360" w:lineRule="auto"/>
              <w:ind w:left="60" w:right="60"/>
              <w:jc w:val="both"/>
              <w:rPr>
                <w:rFonts w:cs="Times New Roman"/>
                <w:szCs w:val="24"/>
              </w:rPr>
            </w:pPr>
            <w:r>
              <w:rPr>
                <w:rFonts w:cs="Times New Roman"/>
                <w:szCs w:val="24"/>
              </w:rPr>
              <w:t>11</w:t>
            </w:r>
          </w:p>
        </w:tc>
        <w:tc>
          <w:tcPr>
            <w:tcW w:w="1356" w:type="dxa"/>
            <w:tcBorders>
              <w:bottom w:val="single" w:color="auto" w:sz="4" w:space="0"/>
            </w:tcBorders>
          </w:tcPr>
          <w:p>
            <w:pPr>
              <w:spacing w:line="360" w:lineRule="auto"/>
              <w:ind w:left="60" w:right="60"/>
              <w:jc w:val="both"/>
              <w:rPr>
                <w:rFonts w:cs="Times New Roman"/>
                <w:szCs w:val="24"/>
              </w:rPr>
            </w:pPr>
            <w:r>
              <w:rPr>
                <w:rFonts w:cs="Times New Roman"/>
                <w:szCs w:val="24"/>
              </w:rPr>
              <w:t>4.4</w:t>
            </w:r>
          </w:p>
        </w:tc>
        <w:tc>
          <w:tcPr>
            <w:tcW w:w="2038" w:type="dxa"/>
            <w:tcBorders>
              <w:bottom w:val="single" w:color="auto" w:sz="4" w:space="0"/>
            </w:tcBorders>
          </w:tcPr>
          <w:p>
            <w:pPr>
              <w:spacing w:line="360" w:lineRule="auto"/>
              <w:ind w:left="60" w:right="60"/>
              <w:jc w:val="both"/>
              <w:rPr>
                <w:rFonts w:cs="Times New Roman"/>
                <w:szCs w:val="24"/>
              </w:rPr>
            </w:pPr>
            <w:r>
              <w:rPr>
                <w:rFonts w:cs="Times New Roman"/>
                <w:szCs w:val="24"/>
              </w:rPr>
              <w:t>100.0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1268" w:type="dxa"/>
            <w:vMerge w:val="continue"/>
          </w:tcPr>
          <w:p>
            <w:pPr>
              <w:spacing w:line="360" w:lineRule="auto"/>
              <w:jc w:val="both"/>
              <w:rPr>
                <w:rFonts w:cs="Times New Roman"/>
                <w:b w:val="0"/>
                <w:bCs w:val="0"/>
                <w:szCs w:val="24"/>
              </w:rPr>
            </w:pPr>
          </w:p>
        </w:tc>
        <w:tc>
          <w:tcPr>
            <w:tcW w:w="1003"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Total</w:t>
            </w:r>
          </w:p>
        </w:tc>
        <w:tc>
          <w:tcPr>
            <w:tcW w:w="1611"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c>
          <w:tcPr>
            <w:tcW w:w="1356"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100.0</w:t>
            </w:r>
          </w:p>
        </w:tc>
        <w:tc>
          <w:tcPr>
            <w:tcW w:w="2038" w:type="dxa"/>
            <w:tcBorders>
              <w:top w:val="single" w:color="auto" w:sz="4" w:space="0"/>
              <w:bottom w:val="single" w:color="auto" w:sz="4" w:space="0"/>
            </w:tcBorders>
          </w:tcPr>
          <w:p>
            <w:pPr>
              <w:spacing w:line="360" w:lineRule="auto"/>
              <w:jc w:val="both"/>
              <w:rPr>
                <w:rFonts w:cs="Times New Roman"/>
                <w:szCs w:val="24"/>
              </w:rPr>
            </w:pPr>
          </w:p>
        </w:tc>
      </w:tr>
    </w:tbl>
    <w:p>
      <w:pPr>
        <w:tabs>
          <w:tab w:val="left" w:pos="2780"/>
        </w:tabs>
        <w:spacing w:line="360" w:lineRule="auto"/>
        <w:jc w:val="both"/>
        <w:rPr>
          <w:rFonts w:cs="Times New Roman"/>
          <w:i/>
          <w:iCs/>
          <w:szCs w:val="24"/>
        </w:rPr>
      </w:pPr>
      <w:r>
        <w:rPr>
          <w:rFonts w:cs="Times New Roman"/>
          <w:i/>
          <w:iCs/>
          <w:szCs w:val="24"/>
        </w:rPr>
        <w:tab/>
      </w:r>
      <w:r>
        <w:rPr>
          <w:rFonts w:cs="Times New Roman"/>
          <w:i/>
          <w:iCs/>
          <w:szCs w:val="24"/>
        </w:rPr>
        <w:tab/>
      </w:r>
      <w:r>
        <w:rPr>
          <w:rFonts w:cs="Times New Roman"/>
          <w:i/>
          <w:iCs/>
          <w:szCs w:val="24"/>
        </w:rPr>
        <w:tab/>
      </w:r>
      <w:r>
        <w:rPr>
          <w:rFonts w:cs="Times New Roman"/>
          <w:i/>
          <w:iCs/>
          <w:szCs w:val="24"/>
        </w:rPr>
        <w:tab/>
      </w:r>
      <w:r>
        <w:rPr>
          <w:rFonts w:cs="Times New Roman"/>
          <w:i/>
          <w:iCs/>
          <w:szCs w:val="24"/>
        </w:rPr>
        <w:tab/>
      </w:r>
      <w:r>
        <w:rPr>
          <w:rFonts w:cs="Times New Roman"/>
          <w:i/>
          <w:iCs/>
          <w:szCs w:val="24"/>
        </w:rPr>
        <w:t>Source: survey data</w:t>
      </w:r>
      <w:r>
        <w:rPr>
          <w:rFonts w:cs="Times New Roman"/>
          <w:i/>
          <w:iCs/>
          <w:szCs w:val="24"/>
        </w:rPr>
        <w:tab/>
      </w:r>
    </w:p>
    <w:p>
      <w:pPr>
        <w:spacing w:line="360" w:lineRule="auto"/>
        <w:jc w:val="both"/>
        <w:rPr>
          <w:rFonts w:cs="Times New Roman"/>
          <w:i/>
          <w:iCs/>
          <w:szCs w:val="24"/>
        </w:rPr>
      </w:pPr>
    </w:p>
    <w:p>
      <w:pPr>
        <w:spacing w:line="360" w:lineRule="auto"/>
        <w:jc w:val="both"/>
        <w:rPr>
          <w:rFonts w:cs="Times New Roman"/>
          <w:szCs w:val="24"/>
        </w:rPr>
      </w:pPr>
      <w:r>
        <w:rPr>
          <w:rFonts w:cs="Times New Roman"/>
          <w:szCs w:val="24"/>
        </w:rPr>
        <w:t xml:space="preserve">According to table 4, 102 respondents, or 40.8% of the total, fell into the 18–30 age group, which made up the majority of respondents. Additionally, 11 responders from the minority group or 4.4% of the total were over 60 years old. </w:t>
      </w:r>
    </w:p>
    <w:p>
      <w:pPr>
        <w:spacing w:line="360" w:lineRule="auto"/>
        <w:jc w:val="both"/>
        <w:rPr>
          <w:rFonts w:cs="Times New Roman"/>
          <w:szCs w:val="24"/>
        </w:rPr>
      </w:pPr>
    </w:p>
    <w:p>
      <w:pPr>
        <w:spacing w:line="360" w:lineRule="auto"/>
        <w:jc w:val="both"/>
        <w:rPr>
          <w:rFonts w:cs="Times New Roman"/>
          <w:szCs w:val="24"/>
        </w:rPr>
      </w:pPr>
    </w:p>
    <w:p>
      <w:pPr>
        <w:pStyle w:val="9"/>
        <w:keepNext/>
        <w:spacing w:line="360" w:lineRule="auto"/>
        <w:rPr>
          <w:rFonts w:cs="Times New Roman"/>
          <w:i w:val="0"/>
          <w:szCs w:val="24"/>
        </w:rPr>
      </w:pPr>
      <w:bookmarkStart w:id="60" w:name="_Toc122095172"/>
      <w:r>
        <w:rPr>
          <w:rFonts w:cs="Times New Roman"/>
          <w:i w:val="0"/>
          <w:szCs w:val="24"/>
        </w:rPr>
        <w:t>Table 5: Demographic characteristic: Educational Level</w:t>
      </w:r>
      <w:bookmarkEnd w:id="60"/>
      <w:r>
        <w:rPr>
          <w:rFonts w:cs="Times New Roman"/>
          <w:i w:val="0"/>
          <w:szCs w:val="24"/>
        </w:rPr>
        <w:t xml:space="preserve"> of Entrepreneur</w:t>
      </w:r>
    </w:p>
    <w:tbl>
      <w:tblPr>
        <w:tblStyle w:val="26"/>
        <w:tblW w:w="752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00"/>
        <w:gridCol w:w="2344"/>
        <w:gridCol w:w="1549"/>
        <w:gridCol w:w="1197"/>
        <w:gridCol w:w="15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3244" w:type="dxa"/>
            <w:gridSpan w:val="2"/>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val="0"/>
                <w:bCs w:val="0"/>
                <w:szCs w:val="24"/>
              </w:rPr>
            </w:pPr>
          </w:p>
        </w:tc>
        <w:tc>
          <w:tcPr>
            <w:tcW w:w="1549"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Frequency</w:t>
            </w:r>
          </w:p>
        </w:tc>
        <w:tc>
          <w:tcPr>
            <w:tcW w:w="1197"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Percent</w:t>
            </w:r>
          </w:p>
        </w:tc>
        <w:tc>
          <w:tcPr>
            <w:tcW w:w="1536"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Cumulative Percent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3" w:hRule="atLeast"/>
        </w:trPr>
        <w:tc>
          <w:tcPr>
            <w:tcW w:w="900" w:type="dxa"/>
            <w:vMerge w:val="restart"/>
          </w:tcPr>
          <w:p>
            <w:pPr>
              <w:spacing w:line="360" w:lineRule="auto"/>
              <w:ind w:left="60" w:right="60"/>
              <w:jc w:val="both"/>
              <w:rPr>
                <w:rFonts w:cs="Times New Roman"/>
                <w:b w:val="0"/>
                <w:bCs w:val="0"/>
                <w:szCs w:val="24"/>
              </w:rPr>
            </w:pPr>
            <w:r>
              <w:rPr>
                <w:rFonts w:cs="Times New Roman"/>
                <w:b/>
                <w:bCs/>
                <w:szCs w:val="24"/>
              </w:rPr>
              <w:t>Valid</w:t>
            </w:r>
          </w:p>
        </w:tc>
        <w:tc>
          <w:tcPr>
            <w:tcW w:w="2344" w:type="dxa"/>
          </w:tcPr>
          <w:p>
            <w:pPr>
              <w:spacing w:line="360" w:lineRule="auto"/>
              <w:ind w:left="60" w:right="60"/>
              <w:jc w:val="both"/>
              <w:rPr>
                <w:rFonts w:cs="Times New Roman"/>
                <w:szCs w:val="24"/>
              </w:rPr>
            </w:pPr>
            <w:r>
              <w:rPr>
                <w:rFonts w:cs="Times New Roman"/>
                <w:szCs w:val="24"/>
              </w:rPr>
              <w:t>Primary &amp; Secondary</w:t>
            </w:r>
          </w:p>
        </w:tc>
        <w:tc>
          <w:tcPr>
            <w:tcW w:w="1549" w:type="dxa"/>
          </w:tcPr>
          <w:p>
            <w:pPr>
              <w:spacing w:line="360" w:lineRule="auto"/>
              <w:ind w:left="60" w:right="60"/>
              <w:jc w:val="both"/>
              <w:rPr>
                <w:rFonts w:cs="Times New Roman"/>
                <w:szCs w:val="24"/>
              </w:rPr>
            </w:pPr>
            <w:r>
              <w:rPr>
                <w:rFonts w:cs="Times New Roman"/>
                <w:szCs w:val="24"/>
              </w:rPr>
              <w:t>46</w:t>
            </w:r>
          </w:p>
        </w:tc>
        <w:tc>
          <w:tcPr>
            <w:tcW w:w="1197" w:type="dxa"/>
          </w:tcPr>
          <w:p>
            <w:pPr>
              <w:spacing w:line="360" w:lineRule="auto"/>
              <w:ind w:left="60" w:right="60"/>
              <w:jc w:val="both"/>
              <w:rPr>
                <w:rFonts w:cs="Times New Roman"/>
                <w:szCs w:val="24"/>
              </w:rPr>
            </w:pPr>
            <w:r>
              <w:rPr>
                <w:rFonts w:cs="Times New Roman"/>
                <w:szCs w:val="24"/>
              </w:rPr>
              <w:t>18.4</w:t>
            </w:r>
          </w:p>
        </w:tc>
        <w:tc>
          <w:tcPr>
            <w:tcW w:w="1536" w:type="dxa"/>
          </w:tcPr>
          <w:p>
            <w:pPr>
              <w:spacing w:line="360" w:lineRule="auto"/>
              <w:ind w:left="60" w:right="60"/>
              <w:jc w:val="both"/>
              <w:rPr>
                <w:rFonts w:cs="Times New Roman"/>
                <w:szCs w:val="24"/>
              </w:rPr>
            </w:pPr>
            <w:r>
              <w:rPr>
                <w:rFonts w:cs="Times New Roman"/>
                <w:szCs w:val="24"/>
              </w:rPr>
              <w:t>18.4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9" w:hRule="atLeast"/>
        </w:trPr>
        <w:tc>
          <w:tcPr>
            <w:tcW w:w="900" w:type="dxa"/>
            <w:vMerge w:val="continue"/>
          </w:tcPr>
          <w:p>
            <w:pPr>
              <w:spacing w:line="360" w:lineRule="auto"/>
              <w:jc w:val="both"/>
              <w:rPr>
                <w:rFonts w:cs="Times New Roman"/>
                <w:b w:val="0"/>
                <w:bCs w:val="0"/>
                <w:szCs w:val="24"/>
              </w:rPr>
            </w:pPr>
          </w:p>
        </w:tc>
        <w:tc>
          <w:tcPr>
            <w:tcW w:w="2344" w:type="dxa"/>
          </w:tcPr>
          <w:p>
            <w:pPr>
              <w:spacing w:line="360" w:lineRule="auto"/>
              <w:ind w:left="60" w:right="60"/>
              <w:jc w:val="both"/>
              <w:rPr>
                <w:rFonts w:cs="Times New Roman"/>
                <w:szCs w:val="24"/>
              </w:rPr>
            </w:pPr>
            <w:r>
              <w:rPr>
                <w:rFonts w:cs="Times New Roman"/>
                <w:szCs w:val="24"/>
              </w:rPr>
              <w:t>OL</w:t>
            </w:r>
          </w:p>
        </w:tc>
        <w:tc>
          <w:tcPr>
            <w:tcW w:w="1549" w:type="dxa"/>
          </w:tcPr>
          <w:p>
            <w:pPr>
              <w:spacing w:line="360" w:lineRule="auto"/>
              <w:ind w:left="60" w:right="60"/>
              <w:jc w:val="both"/>
              <w:rPr>
                <w:rFonts w:cs="Times New Roman"/>
                <w:szCs w:val="24"/>
              </w:rPr>
            </w:pPr>
            <w:r>
              <w:rPr>
                <w:rFonts w:cs="Times New Roman"/>
                <w:szCs w:val="24"/>
              </w:rPr>
              <w:t>83</w:t>
            </w:r>
          </w:p>
        </w:tc>
        <w:tc>
          <w:tcPr>
            <w:tcW w:w="1197" w:type="dxa"/>
          </w:tcPr>
          <w:p>
            <w:pPr>
              <w:spacing w:line="360" w:lineRule="auto"/>
              <w:ind w:left="60" w:right="60"/>
              <w:jc w:val="both"/>
              <w:rPr>
                <w:rFonts w:cs="Times New Roman"/>
                <w:szCs w:val="24"/>
              </w:rPr>
            </w:pPr>
            <w:r>
              <w:rPr>
                <w:rFonts w:cs="Times New Roman"/>
                <w:szCs w:val="24"/>
              </w:rPr>
              <w:t>33.2</w:t>
            </w:r>
          </w:p>
        </w:tc>
        <w:tc>
          <w:tcPr>
            <w:tcW w:w="1536" w:type="dxa"/>
          </w:tcPr>
          <w:p>
            <w:pPr>
              <w:spacing w:line="360" w:lineRule="auto"/>
              <w:ind w:left="60" w:right="60"/>
              <w:jc w:val="both"/>
              <w:rPr>
                <w:rFonts w:cs="Times New Roman"/>
                <w:szCs w:val="24"/>
              </w:rPr>
            </w:pPr>
            <w:r>
              <w:rPr>
                <w:rFonts w:cs="Times New Roman"/>
                <w:szCs w:val="24"/>
              </w:rPr>
              <w:t>51.6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 w:hRule="atLeast"/>
        </w:trPr>
        <w:tc>
          <w:tcPr>
            <w:tcW w:w="900" w:type="dxa"/>
            <w:vMerge w:val="continue"/>
          </w:tcPr>
          <w:p>
            <w:pPr>
              <w:spacing w:line="360" w:lineRule="auto"/>
              <w:jc w:val="both"/>
              <w:rPr>
                <w:rFonts w:cs="Times New Roman"/>
                <w:b w:val="0"/>
                <w:bCs w:val="0"/>
                <w:szCs w:val="24"/>
              </w:rPr>
            </w:pPr>
          </w:p>
        </w:tc>
        <w:tc>
          <w:tcPr>
            <w:tcW w:w="2344" w:type="dxa"/>
          </w:tcPr>
          <w:p>
            <w:pPr>
              <w:spacing w:line="360" w:lineRule="auto"/>
              <w:ind w:left="60" w:right="60"/>
              <w:jc w:val="both"/>
              <w:rPr>
                <w:rFonts w:cs="Times New Roman"/>
                <w:szCs w:val="24"/>
              </w:rPr>
            </w:pPr>
            <w:r>
              <w:rPr>
                <w:rFonts w:cs="Times New Roman"/>
                <w:szCs w:val="24"/>
              </w:rPr>
              <w:t>AL</w:t>
            </w:r>
          </w:p>
        </w:tc>
        <w:tc>
          <w:tcPr>
            <w:tcW w:w="1549" w:type="dxa"/>
          </w:tcPr>
          <w:p>
            <w:pPr>
              <w:spacing w:line="360" w:lineRule="auto"/>
              <w:ind w:left="60" w:right="60"/>
              <w:jc w:val="both"/>
              <w:rPr>
                <w:rFonts w:cs="Times New Roman"/>
                <w:szCs w:val="24"/>
              </w:rPr>
            </w:pPr>
            <w:r>
              <w:rPr>
                <w:rFonts w:cs="Times New Roman"/>
                <w:szCs w:val="24"/>
              </w:rPr>
              <w:t>52</w:t>
            </w:r>
          </w:p>
        </w:tc>
        <w:tc>
          <w:tcPr>
            <w:tcW w:w="1197" w:type="dxa"/>
          </w:tcPr>
          <w:p>
            <w:pPr>
              <w:spacing w:line="360" w:lineRule="auto"/>
              <w:ind w:left="60" w:right="60"/>
              <w:jc w:val="both"/>
              <w:rPr>
                <w:rFonts w:cs="Times New Roman"/>
                <w:szCs w:val="24"/>
              </w:rPr>
            </w:pPr>
            <w:r>
              <w:rPr>
                <w:rFonts w:cs="Times New Roman"/>
                <w:szCs w:val="24"/>
              </w:rPr>
              <w:t>20.8</w:t>
            </w:r>
          </w:p>
        </w:tc>
        <w:tc>
          <w:tcPr>
            <w:tcW w:w="1536" w:type="dxa"/>
          </w:tcPr>
          <w:p>
            <w:pPr>
              <w:spacing w:line="360" w:lineRule="auto"/>
              <w:ind w:left="60" w:right="60"/>
              <w:jc w:val="both"/>
              <w:rPr>
                <w:rFonts w:cs="Times New Roman"/>
                <w:szCs w:val="24"/>
              </w:rPr>
            </w:pPr>
            <w:r>
              <w:rPr>
                <w:rFonts w:cs="Times New Roman"/>
                <w:szCs w:val="24"/>
              </w:rPr>
              <w:t>72.4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trPr>
        <w:tc>
          <w:tcPr>
            <w:tcW w:w="900" w:type="dxa"/>
            <w:vMerge w:val="continue"/>
          </w:tcPr>
          <w:p>
            <w:pPr>
              <w:spacing w:line="360" w:lineRule="auto"/>
              <w:jc w:val="both"/>
              <w:rPr>
                <w:rFonts w:cs="Times New Roman"/>
                <w:b w:val="0"/>
                <w:bCs w:val="0"/>
                <w:szCs w:val="24"/>
              </w:rPr>
            </w:pPr>
          </w:p>
        </w:tc>
        <w:tc>
          <w:tcPr>
            <w:tcW w:w="2344" w:type="dxa"/>
            <w:tcBorders>
              <w:bottom w:val="single" w:color="auto" w:sz="4" w:space="0"/>
            </w:tcBorders>
          </w:tcPr>
          <w:p>
            <w:pPr>
              <w:spacing w:line="360" w:lineRule="auto"/>
              <w:ind w:left="60" w:right="60"/>
              <w:jc w:val="both"/>
              <w:rPr>
                <w:rFonts w:cs="Times New Roman"/>
                <w:szCs w:val="24"/>
              </w:rPr>
            </w:pPr>
            <w:r>
              <w:rPr>
                <w:rFonts w:cs="Times New Roman"/>
                <w:szCs w:val="24"/>
              </w:rPr>
              <w:t>Graduate or more</w:t>
            </w:r>
          </w:p>
        </w:tc>
        <w:tc>
          <w:tcPr>
            <w:tcW w:w="1549" w:type="dxa"/>
            <w:tcBorders>
              <w:bottom w:val="single" w:color="auto" w:sz="4" w:space="0"/>
            </w:tcBorders>
          </w:tcPr>
          <w:p>
            <w:pPr>
              <w:spacing w:line="360" w:lineRule="auto"/>
              <w:ind w:left="60" w:right="60"/>
              <w:jc w:val="both"/>
              <w:rPr>
                <w:rFonts w:cs="Times New Roman"/>
                <w:szCs w:val="24"/>
              </w:rPr>
            </w:pPr>
            <w:r>
              <w:rPr>
                <w:rFonts w:cs="Times New Roman"/>
                <w:szCs w:val="24"/>
              </w:rPr>
              <w:t>69</w:t>
            </w:r>
          </w:p>
        </w:tc>
        <w:tc>
          <w:tcPr>
            <w:tcW w:w="1197" w:type="dxa"/>
            <w:tcBorders>
              <w:bottom w:val="single" w:color="auto" w:sz="4" w:space="0"/>
            </w:tcBorders>
          </w:tcPr>
          <w:p>
            <w:pPr>
              <w:spacing w:line="360" w:lineRule="auto"/>
              <w:ind w:left="60" w:right="60"/>
              <w:jc w:val="both"/>
              <w:rPr>
                <w:rFonts w:cs="Times New Roman"/>
                <w:szCs w:val="24"/>
              </w:rPr>
            </w:pPr>
            <w:r>
              <w:rPr>
                <w:rFonts w:cs="Times New Roman"/>
                <w:szCs w:val="24"/>
              </w:rPr>
              <w:t>27.6</w:t>
            </w:r>
          </w:p>
        </w:tc>
        <w:tc>
          <w:tcPr>
            <w:tcW w:w="1536" w:type="dxa"/>
            <w:tcBorders>
              <w:bottom w:val="single" w:color="auto" w:sz="4" w:space="0"/>
            </w:tcBorders>
          </w:tcPr>
          <w:p>
            <w:pPr>
              <w:spacing w:line="360" w:lineRule="auto"/>
              <w:ind w:left="60" w:right="60"/>
              <w:jc w:val="both"/>
              <w:rPr>
                <w:rFonts w:cs="Times New Roman"/>
                <w:szCs w:val="24"/>
              </w:rPr>
            </w:pPr>
            <w:r>
              <w:rPr>
                <w:rFonts w:cs="Times New Roman"/>
                <w:szCs w:val="24"/>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1" w:hRule="atLeast"/>
        </w:trPr>
        <w:tc>
          <w:tcPr>
            <w:tcW w:w="900" w:type="dxa"/>
            <w:vMerge w:val="continue"/>
          </w:tcPr>
          <w:p>
            <w:pPr>
              <w:spacing w:line="360" w:lineRule="auto"/>
              <w:jc w:val="both"/>
              <w:rPr>
                <w:rFonts w:cs="Times New Roman"/>
                <w:b w:val="0"/>
                <w:bCs w:val="0"/>
                <w:szCs w:val="24"/>
              </w:rPr>
            </w:pPr>
          </w:p>
        </w:tc>
        <w:tc>
          <w:tcPr>
            <w:tcW w:w="2344"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Total</w:t>
            </w:r>
          </w:p>
        </w:tc>
        <w:tc>
          <w:tcPr>
            <w:tcW w:w="1549"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c>
          <w:tcPr>
            <w:tcW w:w="1197"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100.0</w:t>
            </w:r>
          </w:p>
        </w:tc>
        <w:tc>
          <w:tcPr>
            <w:tcW w:w="1536" w:type="dxa"/>
            <w:tcBorders>
              <w:top w:val="single" w:color="auto" w:sz="4" w:space="0"/>
              <w:bottom w:val="single" w:color="auto" w:sz="4" w:space="0"/>
            </w:tcBorders>
          </w:tcPr>
          <w:p>
            <w:pPr>
              <w:spacing w:line="360" w:lineRule="auto"/>
              <w:jc w:val="both"/>
              <w:rPr>
                <w:rFonts w:cs="Times New Roman"/>
                <w:szCs w:val="24"/>
              </w:rPr>
            </w:pPr>
          </w:p>
        </w:tc>
      </w:tr>
    </w:tbl>
    <w:p>
      <w:pPr>
        <w:spacing w:line="360" w:lineRule="auto"/>
        <w:ind w:left="4320" w:firstLine="720"/>
        <w:jc w:val="both"/>
        <w:rPr>
          <w:rFonts w:cs="Times New Roman"/>
          <w:i/>
          <w:iCs/>
          <w:sz w:val="22"/>
          <w:szCs w:val="22"/>
        </w:rPr>
      </w:pPr>
      <w:r>
        <w:rPr>
          <w:rFonts w:cs="Times New Roman"/>
          <w:i/>
          <w:iCs/>
          <w:sz w:val="22"/>
          <w:szCs w:val="22"/>
        </w:rPr>
        <w:t>Source: survey data</w:t>
      </w:r>
    </w:p>
    <w:p>
      <w:pPr>
        <w:spacing w:line="360" w:lineRule="auto"/>
        <w:jc w:val="both"/>
        <w:rPr>
          <w:rFonts w:cs="Times New Roman"/>
          <w:szCs w:val="24"/>
        </w:rPr>
      </w:pPr>
      <w:r>
        <w:rPr>
          <w:rFonts w:cs="Times New Roman"/>
          <w:szCs w:val="24"/>
        </w:rPr>
        <w:t xml:space="preserve">Out of the 250 respondents who filled out the questionnaire for the Micro, Small, and Medium Enterprise in the Service Sector in the Colombo district, 46 have completed their primary and secondary education, 83 have earned an ordinary level qualification, 52 have earned an advanced level qualification, and 69 have a bachelor's degree or higher. This represents relative percentages of 18.4%, 33.2%, 20.8%, and 27.6 %. </w:t>
      </w:r>
    </w:p>
    <w:p>
      <w:pPr>
        <w:pStyle w:val="9"/>
        <w:keepNext/>
        <w:spacing w:line="360" w:lineRule="auto"/>
        <w:rPr>
          <w:rFonts w:eastAsia="Calibri" w:cs="Times New Roman"/>
          <w:b w:val="0"/>
          <w:bCs w:val="0"/>
          <w:i w:val="0"/>
          <w:iCs w:val="0"/>
          <w:color w:val="auto"/>
          <w:szCs w:val="24"/>
        </w:rPr>
      </w:pPr>
      <w:bookmarkStart w:id="61" w:name="_Toc122095173"/>
    </w:p>
    <w:p>
      <w:pPr>
        <w:pStyle w:val="9"/>
        <w:keepNext/>
        <w:spacing w:line="360" w:lineRule="auto"/>
        <w:rPr>
          <w:rFonts w:cs="Times New Roman"/>
          <w:i w:val="0"/>
          <w:szCs w:val="24"/>
        </w:rPr>
      </w:pPr>
      <w:r>
        <w:rPr>
          <w:rFonts w:cs="Times New Roman"/>
          <w:i w:val="0"/>
          <w:szCs w:val="24"/>
        </w:rPr>
        <w:t>Table 6: Demographic characteristic: Industry Experience of Entrepreneur (years)</w:t>
      </w:r>
      <w:bookmarkEnd w:id="61"/>
    </w:p>
    <w:tbl>
      <w:tblPr>
        <w:tblStyle w:val="26"/>
        <w:tblW w:w="71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39"/>
        <w:gridCol w:w="1495"/>
        <w:gridCol w:w="1449"/>
        <w:gridCol w:w="1278"/>
        <w:gridCol w:w="18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9" w:hRule="atLeast"/>
        </w:trPr>
        <w:tc>
          <w:tcPr>
            <w:tcW w:w="2634" w:type="dxa"/>
            <w:gridSpan w:val="2"/>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val="0"/>
                <w:bCs w:val="0"/>
                <w:szCs w:val="24"/>
              </w:rPr>
            </w:pPr>
          </w:p>
        </w:tc>
        <w:tc>
          <w:tcPr>
            <w:tcW w:w="1449"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Frequency</w:t>
            </w:r>
          </w:p>
        </w:tc>
        <w:tc>
          <w:tcPr>
            <w:tcW w:w="1278"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Percent</w:t>
            </w:r>
          </w:p>
        </w:tc>
        <w:tc>
          <w:tcPr>
            <w:tcW w:w="1835"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Cumulative Percent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139" w:type="dxa"/>
            <w:vMerge w:val="restart"/>
          </w:tcPr>
          <w:p>
            <w:pPr>
              <w:spacing w:line="360" w:lineRule="auto"/>
              <w:ind w:left="60" w:right="60"/>
              <w:jc w:val="both"/>
              <w:rPr>
                <w:rFonts w:cs="Times New Roman"/>
                <w:b w:val="0"/>
                <w:bCs w:val="0"/>
                <w:szCs w:val="24"/>
              </w:rPr>
            </w:pPr>
            <w:r>
              <w:rPr>
                <w:rFonts w:cs="Times New Roman"/>
                <w:b/>
                <w:bCs/>
                <w:szCs w:val="24"/>
              </w:rPr>
              <w:t>Valid</w:t>
            </w:r>
          </w:p>
        </w:tc>
        <w:tc>
          <w:tcPr>
            <w:tcW w:w="1495" w:type="dxa"/>
          </w:tcPr>
          <w:p>
            <w:pPr>
              <w:spacing w:line="360" w:lineRule="auto"/>
              <w:ind w:left="60" w:right="60"/>
              <w:jc w:val="both"/>
              <w:rPr>
                <w:rFonts w:cs="Times New Roman"/>
                <w:szCs w:val="24"/>
              </w:rPr>
            </w:pPr>
            <w:r>
              <w:rPr>
                <w:rFonts w:cs="Times New Roman"/>
                <w:szCs w:val="24"/>
              </w:rPr>
              <w:t>0-3</w:t>
            </w:r>
          </w:p>
        </w:tc>
        <w:tc>
          <w:tcPr>
            <w:tcW w:w="1449" w:type="dxa"/>
          </w:tcPr>
          <w:p>
            <w:pPr>
              <w:spacing w:line="360" w:lineRule="auto"/>
              <w:ind w:left="60" w:right="60"/>
              <w:jc w:val="both"/>
              <w:rPr>
                <w:rFonts w:cs="Times New Roman"/>
                <w:szCs w:val="24"/>
              </w:rPr>
            </w:pPr>
            <w:r>
              <w:rPr>
                <w:rFonts w:cs="Times New Roman"/>
                <w:szCs w:val="24"/>
              </w:rPr>
              <w:t>127</w:t>
            </w:r>
          </w:p>
        </w:tc>
        <w:tc>
          <w:tcPr>
            <w:tcW w:w="1278" w:type="dxa"/>
          </w:tcPr>
          <w:p>
            <w:pPr>
              <w:spacing w:line="360" w:lineRule="auto"/>
              <w:ind w:left="60" w:right="60"/>
              <w:jc w:val="both"/>
              <w:rPr>
                <w:rFonts w:cs="Times New Roman"/>
                <w:szCs w:val="24"/>
              </w:rPr>
            </w:pPr>
            <w:r>
              <w:rPr>
                <w:rFonts w:cs="Times New Roman"/>
                <w:szCs w:val="24"/>
              </w:rPr>
              <w:t>50.8</w:t>
            </w:r>
          </w:p>
        </w:tc>
        <w:tc>
          <w:tcPr>
            <w:tcW w:w="1835" w:type="dxa"/>
          </w:tcPr>
          <w:p>
            <w:pPr>
              <w:spacing w:line="360" w:lineRule="auto"/>
              <w:ind w:left="60" w:right="60"/>
              <w:jc w:val="both"/>
              <w:rPr>
                <w:rFonts w:cs="Times New Roman"/>
                <w:szCs w:val="24"/>
              </w:rPr>
            </w:pPr>
            <w:r>
              <w:rPr>
                <w:rFonts w:cs="Times New Roman"/>
                <w:szCs w:val="24"/>
              </w:rPr>
              <w:t>50.8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139" w:type="dxa"/>
            <w:vMerge w:val="continue"/>
          </w:tcPr>
          <w:p>
            <w:pPr>
              <w:spacing w:line="360" w:lineRule="auto"/>
              <w:jc w:val="both"/>
              <w:rPr>
                <w:rFonts w:cs="Times New Roman"/>
                <w:b w:val="0"/>
                <w:bCs w:val="0"/>
                <w:szCs w:val="24"/>
              </w:rPr>
            </w:pPr>
          </w:p>
        </w:tc>
        <w:tc>
          <w:tcPr>
            <w:tcW w:w="1495" w:type="dxa"/>
          </w:tcPr>
          <w:p>
            <w:pPr>
              <w:spacing w:line="360" w:lineRule="auto"/>
              <w:ind w:left="60" w:right="60"/>
              <w:jc w:val="both"/>
              <w:rPr>
                <w:rFonts w:cs="Times New Roman"/>
                <w:szCs w:val="24"/>
              </w:rPr>
            </w:pPr>
            <w:r>
              <w:rPr>
                <w:rFonts w:cs="Times New Roman"/>
                <w:szCs w:val="24"/>
              </w:rPr>
              <w:t>3-6</w:t>
            </w:r>
          </w:p>
        </w:tc>
        <w:tc>
          <w:tcPr>
            <w:tcW w:w="1449" w:type="dxa"/>
          </w:tcPr>
          <w:p>
            <w:pPr>
              <w:spacing w:line="360" w:lineRule="auto"/>
              <w:ind w:left="60" w:right="60"/>
              <w:jc w:val="both"/>
              <w:rPr>
                <w:rFonts w:cs="Times New Roman"/>
                <w:szCs w:val="24"/>
              </w:rPr>
            </w:pPr>
            <w:r>
              <w:rPr>
                <w:rFonts w:cs="Times New Roman"/>
                <w:szCs w:val="24"/>
              </w:rPr>
              <w:t>91</w:t>
            </w:r>
          </w:p>
        </w:tc>
        <w:tc>
          <w:tcPr>
            <w:tcW w:w="1278" w:type="dxa"/>
          </w:tcPr>
          <w:p>
            <w:pPr>
              <w:spacing w:line="360" w:lineRule="auto"/>
              <w:ind w:left="60" w:right="60"/>
              <w:jc w:val="both"/>
              <w:rPr>
                <w:rFonts w:cs="Times New Roman"/>
                <w:szCs w:val="24"/>
              </w:rPr>
            </w:pPr>
            <w:r>
              <w:rPr>
                <w:rFonts w:cs="Times New Roman"/>
                <w:szCs w:val="24"/>
              </w:rPr>
              <w:t>36.4</w:t>
            </w:r>
          </w:p>
        </w:tc>
        <w:tc>
          <w:tcPr>
            <w:tcW w:w="1835" w:type="dxa"/>
          </w:tcPr>
          <w:p>
            <w:pPr>
              <w:spacing w:line="360" w:lineRule="auto"/>
              <w:ind w:left="60" w:right="60"/>
              <w:jc w:val="both"/>
              <w:rPr>
                <w:rFonts w:cs="Times New Roman"/>
                <w:szCs w:val="24"/>
              </w:rPr>
            </w:pPr>
            <w:r>
              <w:rPr>
                <w:rFonts w:cs="Times New Roman"/>
                <w:szCs w:val="24"/>
              </w:rPr>
              <w:t>87.2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139" w:type="dxa"/>
            <w:vMerge w:val="continue"/>
          </w:tcPr>
          <w:p>
            <w:pPr>
              <w:spacing w:line="360" w:lineRule="auto"/>
              <w:jc w:val="both"/>
              <w:rPr>
                <w:rFonts w:cs="Times New Roman"/>
                <w:b w:val="0"/>
                <w:bCs w:val="0"/>
                <w:szCs w:val="24"/>
              </w:rPr>
            </w:pPr>
          </w:p>
        </w:tc>
        <w:tc>
          <w:tcPr>
            <w:tcW w:w="1495" w:type="dxa"/>
          </w:tcPr>
          <w:p>
            <w:pPr>
              <w:spacing w:line="360" w:lineRule="auto"/>
              <w:ind w:left="60" w:right="60"/>
              <w:jc w:val="both"/>
              <w:rPr>
                <w:rFonts w:cs="Times New Roman"/>
                <w:szCs w:val="24"/>
              </w:rPr>
            </w:pPr>
            <w:r>
              <w:rPr>
                <w:rFonts w:cs="Times New Roman"/>
                <w:szCs w:val="24"/>
              </w:rPr>
              <w:t>6-10</w:t>
            </w:r>
          </w:p>
        </w:tc>
        <w:tc>
          <w:tcPr>
            <w:tcW w:w="1449" w:type="dxa"/>
          </w:tcPr>
          <w:p>
            <w:pPr>
              <w:spacing w:line="360" w:lineRule="auto"/>
              <w:ind w:left="60" w:right="60"/>
              <w:jc w:val="both"/>
              <w:rPr>
                <w:rFonts w:cs="Times New Roman"/>
                <w:szCs w:val="24"/>
              </w:rPr>
            </w:pPr>
            <w:r>
              <w:rPr>
                <w:rFonts w:cs="Times New Roman"/>
                <w:szCs w:val="24"/>
              </w:rPr>
              <w:t>26</w:t>
            </w:r>
          </w:p>
        </w:tc>
        <w:tc>
          <w:tcPr>
            <w:tcW w:w="1278" w:type="dxa"/>
          </w:tcPr>
          <w:p>
            <w:pPr>
              <w:spacing w:line="360" w:lineRule="auto"/>
              <w:ind w:left="60" w:right="60"/>
              <w:jc w:val="both"/>
              <w:rPr>
                <w:rFonts w:cs="Times New Roman"/>
                <w:szCs w:val="24"/>
              </w:rPr>
            </w:pPr>
            <w:r>
              <w:rPr>
                <w:rFonts w:cs="Times New Roman"/>
                <w:szCs w:val="24"/>
              </w:rPr>
              <w:t>10.4</w:t>
            </w:r>
          </w:p>
        </w:tc>
        <w:tc>
          <w:tcPr>
            <w:tcW w:w="1835" w:type="dxa"/>
          </w:tcPr>
          <w:p>
            <w:pPr>
              <w:spacing w:line="360" w:lineRule="auto"/>
              <w:ind w:left="60" w:right="60"/>
              <w:jc w:val="both"/>
              <w:rPr>
                <w:rFonts w:cs="Times New Roman"/>
                <w:szCs w:val="24"/>
              </w:rPr>
            </w:pPr>
            <w:r>
              <w:rPr>
                <w:rFonts w:cs="Times New Roman"/>
                <w:szCs w:val="24"/>
              </w:rPr>
              <w:t>97.6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2" w:hRule="atLeast"/>
        </w:trPr>
        <w:tc>
          <w:tcPr>
            <w:tcW w:w="1139" w:type="dxa"/>
            <w:vMerge w:val="continue"/>
          </w:tcPr>
          <w:p>
            <w:pPr>
              <w:spacing w:line="360" w:lineRule="auto"/>
              <w:jc w:val="both"/>
              <w:rPr>
                <w:rFonts w:cs="Times New Roman"/>
                <w:b w:val="0"/>
                <w:bCs w:val="0"/>
                <w:szCs w:val="24"/>
              </w:rPr>
            </w:pPr>
          </w:p>
        </w:tc>
        <w:tc>
          <w:tcPr>
            <w:tcW w:w="1495" w:type="dxa"/>
            <w:tcBorders>
              <w:bottom w:val="single" w:color="auto" w:sz="4" w:space="0"/>
            </w:tcBorders>
          </w:tcPr>
          <w:p>
            <w:pPr>
              <w:spacing w:line="360" w:lineRule="auto"/>
              <w:ind w:left="60" w:right="60"/>
              <w:jc w:val="both"/>
              <w:rPr>
                <w:rFonts w:cs="Times New Roman"/>
                <w:szCs w:val="24"/>
              </w:rPr>
            </w:pPr>
            <w:r>
              <w:rPr>
                <w:rFonts w:cs="Times New Roman"/>
                <w:szCs w:val="24"/>
              </w:rPr>
              <w:t>More than 10</w:t>
            </w:r>
          </w:p>
        </w:tc>
        <w:tc>
          <w:tcPr>
            <w:tcW w:w="1449" w:type="dxa"/>
            <w:tcBorders>
              <w:bottom w:val="single" w:color="auto" w:sz="4" w:space="0"/>
            </w:tcBorders>
          </w:tcPr>
          <w:p>
            <w:pPr>
              <w:spacing w:line="360" w:lineRule="auto"/>
              <w:ind w:left="60" w:right="60"/>
              <w:jc w:val="both"/>
              <w:rPr>
                <w:rFonts w:cs="Times New Roman"/>
                <w:szCs w:val="24"/>
              </w:rPr>
            </w:pPr>
            <w:r>
              <w:rPr>
                <w:rFonts w:cs="Times New Roman"/>
                <w:szCs w:val="24"/>
              </w:rPr>
              <w:t>6</w:t>
            </w:r>
          </w:p>
        </w:tc>
        <w:tc>
          <w:tcPr>
            <w:tcW w:w="1278" w:type="dxa"/>
            <w:tcBorders>
              <w:bottom w:val="single" w:color="auto" w:sz="4" w:space="0"/>
            </w:tcBorders>
          </w:tcPr>
          <w:p>
            <w:pPr>
              <w:spacing w:line="360" w:lineRule="auto"/>
              <w:ind w:left="60" w:right="60"/>
              <w:jc w:val="both"/>
              <w:rPr>
                <w:rFonts w:cs="Times New Roman"/>
                <w:szCs w:val="24"/>
              </w:rPr>
            </w:pPr>
            <w:r>
              <w:rPr>
                <w:rFonts w:cs="Times New Roman"/>
                <w:szCs w:val="24"/>
              </w:rPr>
              <w:t>2.4</w:t>
            </w:r>
          </w:p>
        </w:tc>
        <w:tc>
          <w:tcPr>
            <w:tcW w:w="1835" w:type="dxa"/>
            <w:tcBorders>
              <w:bottom w:val="single" w:color="auto" w:sz="4" w:space="0"/>
            </w:tcBorders>
          </w:tcPr>
          <w:p>
            <w:pPr>
              <w:spacing w:line="360" w:lineRule="auto"/>
              <w:ind w:left="60" w:right="60"/>
              <w:jc w:val="both"/>
              <w:rPr>
                <w:rFonts w:cs="Times New Roman"/>
                <w:szCs w:val="24"/>
              </w:rPr>
            </w:pPr>
            <w:r>
              <w:rPr>
                <w:rFonts w:cs="Times New Roman"/>
                <w:szCs w:val="24"/>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1139" w:type="dxa"/>
            <w:vMerge w:val="continue"/>
          </w:tcPr>
          <w:p>
            <w:pPr>
              <w:spacing w:line="360" w:lineRule="auto"/>
              <w:jc w:val="both"/>
              <w:rPr>
                <w:rFonts w:cs="Times New Roman"/>
                <w:b w:val="0"/>
                <w:bCs w:val="0"/>
                <w:szCs w:val="24"/>
              </w:rPr>
            </w:pPr>
          </w:p>
        </w:tc>
        <w:tc>
          <w:tcPr>
            <w:tcW w:w="1495"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Total</w:t>
            </w:r>
          </w:p>
        </w:tc>
        <w:tc>
          <w:tcPr>
            <w:tcW w:w="1449"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c>
          <w:tcPr>
            <w:tcW w:w="1278"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100.0</w:t>
            </w:r>
          </w:p>
        </w:tc>
        <w:tc>
          <w:tcPr>
            <w:tcW w:w="1835" w:type="dxa"/>
            <w:tcBorders>
              <w:top w:val="single" w:color="auto" w:sz="4" w:space="0"/>
              <w:bottom w:val="single" w:color="auto" w:sz="4" w:space="0"/>
            </w:tcBorders>
          </w:tcPr>
          <w:p>
            <w:pPr>
              <w:spacing w:line="360" w:lineRule="auto"/>
              <w:jc w:val="both"/>
              <w:rPr>
                <w:rFonts w:cs="Times New Roman"/>
                <w:szCs w:val="24"/>
              </w:rPr>
            </w:pPr>
          </w:p>
        </w:tc>
      </w:tr>
    </w:tbl>
    <w:p>
      <w:pPr>
        <w:spacing w:line="360" w:lineRule="auto"/>
        <w:ind w:left="4320" w:firstLine="720"/>
        <w:jc w:val="both"/>
        <w:rPr>
          <w:rFonts w:cs="Times New Roman"/>
          <w:i/>
          <w:iCs/>
          <w:sz w:val="22"/>
          <w:szCs w:val="22"/>
        </w:rPr>
      </w:pPr>
      <w:r>
        <w:rPr>
          <w:rFonts w:cs="Times New Roman"/>
          <w:i/>
          <w:iCs/>
          <w:sz w:val="22"/>
          <w:szCs w:val="22"/>
        </w:rPr>
        <w:t>Source: survey data</w:t>
      </w:r>
    </w:p>
    <w:p>
      <w:pPr>
        <w:spacing w:line="360" w:lineRule="auto"/>
        <w:ind w:left="4320" w:firstLine="720"/>
        <w:jc w:val="both"/>
        <w:rPr>
          <w:rFonts w:cs="Times New Roman"/>
          <w:i/>
          <w:iCs/>
          <w:sz w:val="22"/>
          <w:szCs w:val="22"/>
        </w:rPr>
      </w:pPr>
    </w:p>
    <w:p>
      <w:pPr>
        <w:spacing w:line="360" w:lineRule="auto"/>
        <w:jc w:val="both"/>
        <w:rPr>
          <w:rFonts w:cs="Times New Roman"/>
          <w:szCs w:val="24"/>
        </w:rPr>
      </w:pPr>
      <w:r>
        <w:rPr>
          <w:rFonts w:cs="Times New Roman"/>
          <w:szCs w:val="24"/>
        </w:rPr>
        <w:t>The majority of respondents, 127 of whom represent 50.8% of the total respondents, have 0–3 years of experience, according to Table 6. Six (6) responders from the minority group or 2.4% of the total were more than 10 years.</w:t>
      </w:r>
    </w:p>
    <w:p>
      <w:pPr>
        <w:spacing w:line="360" w:lineRule="auto"/>
        <w:jc w:val="both"/>
        <w:rPr>
          <w:rFonts w:cs="Times New Roman"/>
          <w:szCs w:val="24"/>
        </w:rPr>
      </w:pPr>
    </w:p>
    <w:p>
      <w:pPr>
        <w:pStyle w:val="9"/>
        <w:keepNext/>
        <w:spacing w:line="360" w:lineRule="auto"/>
        <w:rPr>
          <w:rFonts w:cs="Times New Roman"/>
          <w:i w:val="0"/>
          <w:szCs w:val="24"/>
        </w:rPr>
      </w:pPr>
      <w:bookmarkStart w:id="62" w:name="_Toc122095174"/>
      <w:r>
        <w:rPr>
          <w:rFonts w:cs="Times New Roman"/>
          <w:i w:val="0"/>
          <w:szCs w:val="24"/>
        </w:rPr>
        <w:t>Table 7: Demographic characteristic: Number of Employees</w:t>
      </w:r>
      <w:bookmarkEnd w:id="62"/>
    </w:p>
    <w:tbl>
      <w:tblPr>
        <w:tblStyle w:val="26"/>
        <w:tblW w:w="725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52"/>
        <w:gridCol w:w="1526"/>
        <w:gridCol w:w="1485"/>
        <w:gridCol w:w="1310"/>
        <w:gridCol w:w="18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4" w:hRule="atLeast"/>
        </w:trPr>
        <w:tc>
          <w:tcPr>
            <w:tcW w:w="2578" w:type="dxa"/>
            <w:gridSpan w:val="2"/>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val="0"/>
                <w:bCs w:val="0"/>
                <w:szCs w:val="24"/>
              </w:rPr>
            </w:pPr>
          </w:p>
        </w:tc>
        <w:tc>
          <w:tcPr>
            <w:tcW w:w="1485"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Frequency</w:t>
            </w:r>
          </w:p>
        </w:tc>
        <w:tc>
          <w:tcPr>
            <w:tcW w:w="1310"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Percent</w:t>
            </w:r>
          </w:p>
        </w:tc>
        <w:tc>
          <w:tcPr>
            <w:tcW w:w="1878"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ind w:left="60" w:right="60"/>
              <w:jc w:val="both"/>
              <w:rPr>
                <w:rFonts w:cs="Times New Roman"/>
                <w:b w:val="0"/>
                <w:bCs w:val="0"/>
                <w:szCs w:val="24"/>
              </w:rPr>
            </w:pPr>
            <w:r>
              <w:rPr>
                <w:rFonts w:cs="Times New Roman"/>
                <w:b/>
                <w:bCs/>
                <w:szCs w:val="24"/>
              </w:rPr>
              <w:t>Cumulative Percent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 w:hRule="atLeast"/>
        </w:trPr>
        <w:tc>
          <w:tcPr>
            <w:tcW w:w="1052" w:type="dxa"/>
            <w:vMerge w:val="restart"/>
          </w:tcPr>
          <w:p>
            <w:pPr>
              <w:spacing w:line="360" w:lineRule="auto"/>
              <w:ind w:left="60" w:right="60"/>
              <w:jc w:val="both"/>
              <w:rPr>
                <w:rFonts w:cs="Times New Roman"/>
                <w:b w:val="0"/>
                <w:bCs w:val="0"/>
                <w:szCs w:val="24"/>
              </w:rPr>
            </w:pPr>
            <w:r>
              <w:rPr>
                <w:rFonts w:cs="Times New Roman"/>
                <w:b/>
                <w:bCs/>
                <w:szCs w:val="24"/>
              </w:rPr>
              <w:t>Valid</w:t>
            </w:r>
          </w:p>
        </w:tc>
        <w:tc>
          <w:tcPr>
            <w:tcW w:w="1526" w:type="dxa"/>
          </w:tcPr>
          <w:p>
            <w:pPr>
              <w:spacing w:line="360" w:lineRule="auto"/>
              <w:ind w:left="60" w:right="60"/>
              <w:jc w:val="both"/>
              <w:rPr>
                <w:rFonts w:cs="Times New Roman"/>
                <w:szCs w:val="24"/>
              </w:rPr>
            </w:pPr>
            <w:r>
              <w:rPr>
                <w:rFonts w:cs="Times New Roman"/>
                <w:szCs w:val="24"/>
              </w:rPr>
              <w:t>Less than 5</w:t>
            </w:r>
          </w:p>
        </w:tc>
        <w:tc>
          <w:tcPr>
            <w:tcW w:w="1485" w:type="dxa"/>
          </w:tcPr>
          <w:p>
            <w:pPr>
              <w:spacing w:line="360" w:lineRule="auto"/>
              <w:ind w:left="60" w:right="60"/>
              <w:jc w:val="both"/>
              <w:rPr>
                <w:rFonts w:cs="Times New Roman"/>
                <w:szCs w:val="24"/>
              </w:rPr>
            </w:pPr>
            <w:r>
              <w:rPr>
                <w:rFonts w:cs="Times New Roman"/>
                <w:szCs w:val="24"/>
              </w:rPr>
              <w:t>55</w:t>
            </w:r>
          </w:p>
        </w:tc>
        <w:tc>
          <w:tcPr>
            <w:tcW w:w="1310" w:type="dxa"/>
          </w:tcPr>
          <w:p>
            <w:pPr>
              <w:spacing w:line="360" w:lineRule="auto"/>
              <w:ind w:left="60" w:right="60"/>
              <w:jc w:val="both"/>
              <w:rPr>
                <w:rFonts w:cs="Times New Roman"/>
                <w:szCs w:val="24"/>
              </w:rPr>
            </w:pPr>
            <w:r>
              <w:rPr>
                <w:rFonts w:cs="Times New Roman"/>
                <w:szCs w:val="24"/>
              </w:rPr>
              <w:t>22.0</w:t>
            </w:r>
          </w:p>
        </w:tc>
        <w:tc>
          <w:tcPr>
            <w:tcW w:w="1878" w:type="dxa"/>
          </w:tcPr>
          <w:p>
            <w:pPr>
              <w:spacing w:line="360" w:lineRule="auto"/>
              <w:ind w:left="60" w:right="60"/>
              <w:jc w:val="both"/>
              <w:rPr>
                <w:rFonts w:cs="Times New Roman"/>
                <w:szCs w:val="24"/>
              </w:rPr>
            </w:pPr>
            <w:r>
              <w:rPr>
                <w:rFonts w:cs="Times New Roman"/>
                <w:szCs w:val="24"/>
              </w:rPr>
              <w:t>22.0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trPr>
        <w:tc>
          <w:tcPr>
            <w:tcW w:w="1052" w:type="dxa"/>
            <w:vMerge w:val="continue"/>
          </w:tcPr>
          <w:p>
            <w:pPr>
              <w:spacing w:line="360" w:lineRule="auto"/>
              <w:jc w:val="both"/>
              <w:rPr>
                <w:rFonts w:cs="Times New Roman"/>
                <w:b w:val="0"/>
                <w:bCs w:val="0"/>
                <w:szCs w:val="24"/>
              </w:rPr>
            </w:pPr>
          </w:p>
        </w:tc>
        <w:tc>
          <w:tcPr>
            <w:tcW w:w="1526" w:type="dxa"/>
          </w:tcPr>
          <w:p>
            <w:pPr>
              <w:spacing w:line="360" w:lineRule="auto"/>
              <w:ind w:left="60" w:right="60"/>
              <w:jc w:val="both"/>
              <w:rPr>
                <w:rFonts w:cs="Times New Roman"/>
                <w:szCs w:val="24"/>
              </w:rPr>
            </w:pPr>
            <w:r>
              <w:rPr>
                <w:rFonts w:cs="Times New Roman"/>
                <w:szCs w:val="24"/>
              </w:rPr>
              <w:t>5-10</w:t>
            </w:r>
          </w:p>
        </w:tc>
        <w:tc>
          <w:tcPr>
            <w:tcW w:w="1485" w:type="dxa"/>
          </w:tcPr>
          <w:p>
            <w:pPr>
              <w:spacing w:line="360" w:lineRule="auto"/>
              <w:ind w:left="60" w:right="60"/>
              <w:jc w:val="both"/>
              <w:rPr>
                <w:rFonts w:cs="Times New Roman"/>
                <w:szCs w:val="24"/>
              </w:rPr>
            </w:pPr>
            <w:r>
              <w:rPr>
                <w:rFonts w:cs="Times New Roman"/>
                <w:szCs w:val="24"/>
              </w:rPr>
              <w:t>105</w:t>
            </w:r>
          </w:p>
        </w:tc>
        <w:tc>
          <w:tcPr>
            <w:tcW w:w="1310" w:type="dxa"/>
          </w:tcPr>
          <w:p>
            <w:pPr>
              <w:spacing w:line="360" w:lineRule="auto"/>
              <w:ind w:left="60" w:right="60"/>
              <w:jc w:val="both"/>
              <w:rPr>
                <w:rFonts w:cs="Times New Roman"/>
                <w:szCs w:val="24"/>
              </w:rPr>
            </w:pPr>
            <w:r>
              <w:rPr>
                <w:rFonts w:cs="Times New Roman"/>
                <w:szCs w:val="24"/>
              </w:rPr>
              <w:t>42.0</w:t>
            </w:r>
          </w:p>
        </w:tc>
        <w:tc>
          <w:tcPr>
            <w:tcW w:w="1878" w:type="dxa"/>
          </w:tcPr>
          <w:p>
            <w:pPr>
              <w:spacing w:line="360" w:lineRule="auto"/>
              <w:ind w:left="60" w:right="60"/>
              <w:jc w:val="both"/>
              <w:rPr>
                <w:rFonts w:cs="Times New Roman"/>
                <w:szCs w:val="24"/>
              </w:rPr>
            </w:pPr>
            <w:r>
              <w:rPr>
                <w:rFonts w:cs="Times New Roman"/>
                <w:szCs w:val="24"/>
              </w:rPr>
              <w:t>64.0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trPr>
        <w:tc>
          <w:tcPr>
            <w:tcW w:w="1052" w:type="dxa"/>
            <w:vMerge w:val="continue"/>
          </w:tcPr>
          <w:p>
            <w:pPr>
              <w:spacing w:line="360" w:lineRule="auto"/>
              <w:jc w:val="both"/>
              <w:rPr>
                <w:rFonts w:cs="Times New Roman"/>
                <w:b w:val="0"/>
                <w:bCs w:val="0"/>
                <w:szCs w:val="24"/>
              </w:rPr>
            </w:pPr>
          </w:p>
        </w:tc>
        <w:tc>
          <w:tcPr>
            <w:tcW w:w="1526" w:type="dxa"/>
          </w:tcPr>
          <w:p>
            <w:pPr>
              <w:spacing w:line="360" w:lineRule="auto"/>
              <w:ind w:left="60" w:right="60"/>
              <w:jc w:val="both"/>
              <w:rPr>
                <w:rFonts w:cs="Times New Roman"/>
                <w:szCs w:val="24"/>
              </w:rPr>
            </w:pPr>
            <w:r>
              <w:rPr>
                <w:rFonts w:cs="Times New Roman"/>
                <w:szCs w:val="24"/>
              </w:rPr>
              <w:t>11-50</w:t>
            </w:r>
          </w:p>
        </w:tc>
        <w:tc>
          <w:tcPr>
            <w:tcW w:w="1485" w:type="dxa"/>
          </w:tcPr>
          <w:p>
            <w:pPr>
              <w:spacing w:line="360" w:lineRule="auto"/>
              <w:ind w:left="60" w:right="60"/>
              <w:jc w:val="both"/>
              <w:rPr>
                <w:rFonts w:cs="Times New Roman"/>
                <w:szCs w:val="24"/>
              </w:rPr>
            </w:pPr>
            <w:r>
              <w:rPr>
                <w:rFonts w:cs="Times New Roman"/>
                <w:szCs w:val="24"/>
              </w:rPr>
              <w:t>66</w:t>
            </w:r>
          </w:p>
        </w:tc>
        <w:tc>
          <w:tcPr>
            <w:tcW w:w="1310" w:type="dxa"/>
          </w:tcPr>
          <w:p>
            <w:pPr>
              <w:spacing w:line="360" w:lineRule="auto"/>
              <w:ind w:left="60" w:right="60"/>
              <w:jc w:val="both"/>
              <w:rPr>
                <w:rFonts w:cs="Times New Roman"/>
                <w:szCs w:val="24"/>
              </w:rPr>
            </w:pPr>
            <w:r>
              <w:rPr>
                <w:rFonts w:cs="Times New Roman"/>
                <w:szCs w:val="24"/>
              </w:rPr>
              <w:t>26.4</w:t>
            </w:r>
          </w:p>
        </w:tc>
        <w:tc>
          <w:tcPr>
            <w:tcW w:w="1878" w:type="dxa"/>
          </w:tcPr>
          <w:p>
            <w:pPr>
              <w:spacing w:line="360" w:lineRule="auto"/>
              <w:ind w:left="60" w:right="60"/>
              <w:jc w:val="both"/>
              <w:rPr>
                <w:rFonts w:cs="Times New Roman"/>
                <w:szCs w:val="24"/>
              </w:rPr>
            </w:pPr>
            <w:r>
              <w:rPr>
                <w:rFonts w:cs="Times New Roman"/>
                <w:szCs w:val="24"/>
              </w:rPr>
              <w:t>90.4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trPr>
        <w:tc>
          <w:tcPr>
            <w:tcW w:w="1052" w:type="dxa"/>
            <w:vMerge w:val="continue"/>
          </w:tcPr>
          <w:p>
            <w:pPr>
              <w:spacing w:line="360" w:lineRule="auto"/>
              <w:jc w:val="both"/>
              <w:rPr>
                <w:rFonts w:cs="Times New Roman"/>
                <w:b w:val="0"/>
                <w:bCs w:val="0"/>
                <w:szCs w:val="24"/>
              </w:rPr>
            </w:pPr>
          </w:p>
        </w:tc>
        <w:tc>
          <w:tcPr>
            <w:tcW w:w="1526" w:type="dxa"/>
            <w:tcBorders>
              <w:bottom w:val="single" w:color="auto" w:sz="4" w:space="0"/>
            </w:tcBorders>
          </w:tcPr>
          <w:p>
            <w:pPr>
              <w:spacing w:line="360" w:lineRule="auto"/>
              <w:ind w:left="60" w:right="60"/>
              <w:jc w:val="both"/>
              <w:rPr>
                <w:rFonts w:cs="Times New Roman"/>
                <w:szCs w:val="24"/>
              </w:rPr>
            </w:pPr>
            <w:r>
              <w:rPr>
                <w:rFonts w:cs="Times New Roman"/>
                <w:szCs w:val="24"/>
              </w:rPr>
              <w:t>51-300</w:t>
            </w:r>
          </w:p>
        </w:tc>
        <w:tc>
          <w:tcPr>
            <w:tcW w:w="1485" w:type="dxa"/>
            <w:tcBorders>
              <w:bottom w:val="single" w:color="auto" w:sz="4" w:space="0"/>
            </w:tcBorders>
          </w:tcPr>
          <w:p>
            <w:pPr>
              <w:spacing w:line="360" w:lineRule="auto"/>
              <w:ind w:left="60" w:right="60"/>
              <w:jc w:val="both"/>
              <w:rPr>
                <w:rFonts w:cs="Times New Roman"/>
                <w:szCs w:val="24"/>
              </w:rPr>
            </w:pPr>
            <w:r>
              <w:rPr>
                <w:rFonts w:cs="Times New Roman"/>
                <w:szCs w:val="24"/>
              </w:rPr>
              <w:t>24</w:t>
            </w:r>
          </w:p>
        </w:tc>
        <w:tc>
          <w:tcPr>
            <w:tcW w:w="1310" w:type="dxa"/>
            <w:tcBorders>
              <w:bottom w:val="single" w:color="auto" w:sz="4" w:space="0"/>
            </w:tcBorders>
          </w:tcPr>
          <w:p>
            <w:pPr>
              <w:spacing w:line="360" w:lineRule="auto"/>
              <w:ind w:left="60" w:right="60"/>
              <w:jc w:val="both"/>
              <w:rPr>
                <w:rFonts w:cs="Times New Roman"/>
                <w:szCs w:val="24"/>
              </w:rPr>
            </w:pPr>
            <w:r>
              <w:rPr>
                <w:rFonts w:cs="Times New Roman"/>
                <w:szCs w:val="24"/>
              </w:rPr>
              <w:t>9.6</w:t>
            </w:r>
          </w:p>
        </w:tc>
        <w:tc>
          <w:tcPr>
            <w:tcW w:w="1878" w:type="dxa"/>
            <w:tcBorders>
              <w:bottom w:val="single" w:color="auto" w:sz="4" w:space="0"/>
            </w:tcBorders>
          </w:tcPr>
          <w:p>
            <w:pPr>
              <w:spacing w:line="360" w:lineRule="auto"/>
              <w:ind w:left="60" w:right="60"/>
              <w:jc w:val="both"/>
              <w:rPr>
                <w:rFonts w:cs="Times New Roman"/>
                <w:szCs w:val="24"/>
              </w:rPr>
            </w:pPr>
            <w:r>
              <w:rPr>
                <w:rFonts w:cs="Times New Roman"/>
                <w:szCs w:val="24"/>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1052" w:type="dxa"/>
            <w:vMerge w:val="continue"/>
          </w:tcPr>
          <w:p>
            <w:pPr>
              <w:spacing w:line="360" w:lineRule="auto"/>
              <w:jc w:val="both"/>
              <w:rPr>
                <w:rFonts w:cs="Times New Roman"/>
                <w:b w:val="0"/>
                <w:bCs w:val="0"/>
                <w:szCs w:val="24"/>
              </w:rPr>
            </w:pPr>
          </w:p>
        </w:tc>
        <w:tc>
          <w:tcPr>
            <w:tcW w:w="1526"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Total</w:t>
            </w:r>
          </w:p>
        </w:tc>
        <w:tc>
          <w:tcPr>
            <w:tcW w:w="1485"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c>
          <w:tcPr>
            <w:tcW w:w="1310"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100.0</w:t>
            </w:r>
          </w:p>
        </w:tc>
        <w:tc>
          <w:tcPr>
            <w:tcW w:w="1878" w:type="dxa"/>
            <w:tcBorders>
              <w:top w:val="single" w:color="auto" w:sz="4" w:space="0"/>
              <w:bottom w:val="single" w:color="auto" w:sz="4" w:space="0"/>
            </w:tcBorders>
          </w:tcPr>
          <w:p>
            <w:pPr>
              <w:spacing w:line="360" w:lineRule="auto"/>
              <w:jc w:val="both"/>
              <w:rPr>
                <w:rFonts w:cs="Times New Roman"/>
                <w:szCs w:val="24"/>
              </w:rPr>
            </w:pPr>
          </w:p>
        </w:tc>
      </w:tr>
    </w:tbl>
    <w:p>
      <w:pPr>
        <w:spacing w:line="360" w:lineRule="auto"/>
        <w:ind w:left="4320" w:firstLine="720"/>
        <w:jc w:val="both"/>
        <w:rPr>
          <w:rFonts w:cs="Times New Roman"/>
          <w:i/>
          <w:iCs/>
          <w:sz w:val="22"/>
          <w:szCs w:val="22"/>
        </w:rPr>
      </w:pPr>
      <w:r>
        <w:rPr>
          <w:rFonts w:cs="Times New Roman"/>
          <w:i/>
          <w:iCs/>
          <w:sz w:val="22"/>
          <w:szCs w:val="22"/>
        </w:rPr>
        <w:t>Source: survey data</w:t>
      </w:r>
    </w:p>
    <w:p>
      <w:pPr>
        <w:spacing w:line="360" w:lineRule="auto"/>
        <w:rPr>
          <w:rFonts w:cs="Times New Roman"/>
          <w:szCs w:val="24"/>
        </w:rPr>
      </w:pPr>
    </w:p>
    <w:p>
      <w:pPr>
        <w:spacing w:line="360" w:lineRule="auto"/>
        <w:jc w:val="both"/>
        <w:rPr>
          <w:rFonts w:cs="Times New Roman"/>
          <w:szCs w:val="24"/>
        </w:rPr>
      </w:pPr>
      <w:r>
        <w:rPr>
          <w:rFonts w:cs="Times New Roman"/>
          <w:szCs w:val="24"/>
        </w:rPr>
        <w:t xml:space="preserve">Most respondents, or 105 respondents, or 42% of the total respondents, have 5 to 10 employees, according to Table 7. Additionally, 24 responders from the minority group or 9.6% of the total were 51-300. </w:t>
      </w:r>
    </w:p>
    <w:p>
      <w:pPr>
        <w:spacing w:line="360" w:lineRule="auto"/>
        <w:jc w:val="both"/>
        <w:rPr>
          <w:rFonts w:cs="Times New Roman"/>
          <w:szCs w:val="24"/>
        </w:rPr>
      </w:pPr>
    </w:p>
    <w:p>
      <w:pPr>
        <w:pStyle w:val="4"/>
        <w:numPr>
          <w:ilvl w:val="0"/>
          <w:numId w:val="0"/>
        </w:numPr>
        <w:spacing w:line="360" w:lineRule="auto"/>
        <w:rPr>
          <w:rFonts w:cs="Times New Roman"/>
          <w:b w:val="0"/>
          <w:bCs/>
          <w:i/>
          <w:iCs/>
        </w:rPr>
      </w:pPr>
      <w:bookmarkStart w:id="63" w:name="_Toc125922296"/>
      <w:bookmarkStart w:id="64" w:name="_Toc141558997"/>
      <w:bookmarkStart w:id="65" w:name="_Toc94199700"/>
      <w:r>
        <w:rPr>
          <w:rFonts w:cs="Times New Roman"/>
          <w:b w:val="0"/>
          <w:bCs/>
          <w:i/>
          <w:iCs/>
          <w:highlight w:val="yellow"/>
        </w:rPr>
        <w:t>Reliability of the variables</w:t>
      </w:r>
      <w:bookmarkEnd w:id="63"/>
      <w:bookmarkEnd w:id="64"/>
      <w:bookmarkEnd w:id="65"/>
    </w:p>
    <w:p>
      <w:pPr>
        <w:pStyle w:val="8"/>
        <w:spacing w:line="360" w:lineRule="auto"/>
      </w:pPr>
    </w:p>
    <w:p>
      <w:pPr>
        <w:spacing w:line="360" w:lineRule="auto"/>
        <w:ind w:right="60"/>
        <w:jc w:val="both"/>
        <w:rPr>
          <w:rFonts w:cs="Times New Roman"/>
          <w:szCs w:val="24"/>
        </w:rPr>
      </w:pPr>
      <w:r>
        <w:rPr>
          <w:rFonts w:cs="Times New Roman"/>
          <w:szCs w:val="24"/>
        </w:rPr>
        <w:t xml:space="preserve">According to the </w:t>
      </w:r>
      <w:sdt>
        <w:sdtPr>
          <w:rPr>
            <w:rFonts w:cs="Times New Roman"/>
            <w:szCs w:val="24"/>
          </w:rPr>
          <w:id w:val="1442420843"/>
        </w:sdtPr>
        <w:sdtEndPr>
          <w:rPr>
            <w:rFonts w:cs="Times New Roman"/>
            <w:szCs w:val="24"/>
          </w:rPr>
        </w:sdtEndPr>
        <w:sdtContent>
          <w:r>
            <w:rPr>
              <w:rFonts w:cs="Times New Roman"/>
              <w:szCs w:val="24"/>
            </w:rPr>
            <w:fldChar w:fldCharType="begin"/>
          </w:r>
          <w:r>
            <w:rPr>
              <w:rFonts w:cs="Times New Roman"/>
              <w:szCs w:val="24"/>
            </w:rPr>
            <w:instrText xml:space="preserve"> CITATION Geo03 \l 1033 </w:instrText>
          </w:r>
          <w:r>
            <w:rPr>
              <w:rFonts w:cs="Times New Roman"/>
              <w:szCs w:val="24"/>
            </w:rPr>
            <w:fldChar w:fldCharType="separate"/>
          </w:r>
          <w:r>
            <w:rPr>
              <w:rFonts w:cs="Times New Roman"/>
              <w:szCs w:val="24"/>
            </w:rPr>
            <w:t>(Mallery, 2003)</w:t>
          </w:r>
          <w:r>
            <w:rPr>
              <w:rFonts w:cs="Times New Roman"/>
              <w:szCs w:val="24"/>
            </w:rPr>
            <w:fldChar w:fldCharType="end"/>
          </w:r>
        </w:sdtContent>
      </w:sdt>
      <w:r>
        <w:rPr>
          <w:rFonts w:cs="Times New Roman"/>
          <w:szCs w:val="24"/>
        </w:rPr>
        <w:t>, if the Cronbach’s alpha values is greater than 0.9, it is “Excellent”. In between 0.7-0.9, it is “Good”. In between 0.6-0.7, “Acceptable”. In between the “0.5-0.6”, it is bad. Moreover, if less than 0.5, it is “unacceptable”.</w:t>
      </w:r>
    </w:p>
    <w:p>
      <w:pPr>
        <w:spacing w:line="360" w:lineRule="auto"/>
        <w:ind w:right="60"/>
        <w:jc w:val="both"/>
        <w:rPr>
          <w:rFonts w:cs="Times New Roman"/>
          <w:szCs w:val="24"/>
        </w:rPr>
      </w:pPr>
    </w:p>
    <w:p>
      <w:pPr>
        <w:pStyle w:val="9"/>
        <w:keepNext/>
        <w:spacing w:line="360" w:lineRule="auto"/>
        <w:rPr>
          <w:rFonts w:cs="Times New Roman"/>
          <w:i w:val="0"/>
          <w:szCs w:val="24"/>
        </w:rPr>
      </w:pPr>
      <w:r>
        <w:rPr>
          <w:rFonts w:cs="Times New Roman"/>
          <w:i w:val="0"/>
          <w:szCs w:val="24"/>
        </w:rPr>
        <w:t>Table 08: Reliability Statistics</w:t>
      </w:r>
    </w:p>
    <w:p>
      <w:pPr>
        <w:spacing w:line="360" w:lineRule="auto"/>
        <w:ind w:right="60"/>
        <w:jc w:val="both"/>
        <w:rPr>
          <w:rFonts w:cs="Times New Roman"/>
          <w:szCs w:val="24"/>
          <w:lang w:val="en-GB"/>
        </w:rPr>
      </w:pPr>
    </w:p>
    <w:tbl>
      <w:tblPr>
        <w:tblStyle w:val="25"/>
        <w:tblW w:w="7640" w:type="dxa"/>
        <w:tblInd w:w="9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3"/>
        <w:gridCol w:w="2699"/>
        <w:gridCol w:w="1652"/>
        <w:gridCol w:w="1876"/>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3" w:hRule="atLeast"/>
        </w:trPr>
        <w:tc>
          <w:tcPr>
            <w:tcW w:w="1413"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Cronbach's Alpha</w:t>
            </w:r>
          </w:p>
        </w:tc>
        <w:tc>
          <w:tcPr>
            <w:tcW w:w="2699"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Cronbach's Alpha Based on Standardized Items</w:t>
            </w:r>
          </w:p>
        </w:tc>
        <w:tc>
          <w:tcPr>
            <w:tcW w:w="1652" w:type="dxa"/>
            <w:tcBorders>
              <w:bottom w:val="single" w:color="auto" w:sz="4" w:space="0"/>
            </w:tcBorders>
            <w:shd w:val="clear" w:color="auto" w:fill="E7E6E6" w:themeFill="background2"/>
          </w:tcPr>
          <w:p>
            <w:pPr>
              <w:spacing w:after="160" w:line="360" w:lineRule="auto"/>
              <w:jc w:val="both"/>
              <w:rPr>
                <w:rFonts w:cs="Times New Roman"/>
                <w:szCs w:val="24"/>
              </w:rPr>
            </w:pPr>
            <w:r>
              <w:rPr>
                <w:rFonts w:cs="Times New Roman"/>
                <w:szCs w:val="24"/>
              </w:rPr>
              <w:t>N of Items</w:t>
            </w:r>
          </w:p>
        </w:tc>
        <w:tc>
          <w:tcPr>
            <w:tcW w:w="1876" w:type="dxa"/>
            <w:tcBorders>
              <w:bottom w:val="single" w:color="auto" w:sz="4" w:space="0"/>
            </w:tcBorders>
            <w:shd w:val="clear" w:color="auto" w:fill="E7E6E6" w:themeFill="background2"/>
          </w:tcPr>
          <w:p>
            <w:pPr>
              <w:spacing w:after="160" w:line="360" w:lineRule="auto"/>
              <w:jc w:val="both"/>
              <w:rPr>
                <w:rFonts w:cs="Times New Roman"/>
                <w:szCs w:val="24"/>
              </w:rPr>
            </w:pPr>
            <w:r>
              <w:rPr>
                <w:rFonts w:cs="Times New Roman"/>
                <w:bCs/>
                <w:szCs w:val="24"/>
              </w:rPr>
              <w:t>Rule of thumb</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7" w:hRule="atLeast"/>
        </w:trPr>
        <w:tc>
          <w:tcPr>
            <w:tcW w:w="1413"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.869</w:t>
            </w:r>
          </w:p>
        </w:tc>
        <w:tc>
          <w:tcPr>
            <w:tcW w:w="2699"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.872</w:t>
            </w:r>
          </w:p>
        </w:tc>
        <w:tc>
          <w:tcPr>
            <w:tcW w:w="1652"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4</w:t>
            </w:r>
          </w:p>
        </w:tc>
        <w:tc>
          <w:tcPr>
            <w:tcW w:w="1876"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Good</w:t>
            </w:r>
          </w:p>
        </w:tc>
      </w:tr>
    </w:tbl>
    <w:p>
      <w:pPr>
        <w:spacing w:line="360" w:lineRule="auto"/>
        <w:ind w:right="60"/>
        <w:jc w:val="both"/>
        <w:rPr>
          <w:rFonts w:cs="Times New Roman"/>
          <w:szCs w:val="24"/>
          <w:lang w:val="en-GB"/>
        </w:rPr>
      </w:pPr>
    </w:p>
    <w:p>
      <w:pPr>
        <w:spacing w:line="360" w:lineRule="auto"/>
        <w:ind w:right="60"/>
        <w:jc w:val="both"/>
        <w:rPr>
          <w:rFonts w:cs="Times New Roman"/>
          <w:szCs w:val="24"/>
          <w:lang w:val="en-GB"/>
        </w:rPr>
      </w:pPr>
    </w:p>
    <w:p>
      <w:pPr>
        <w:pStyle w:val="9"/>
        <w:keepNext/>
        <w:spacing w:line="360" w:lineRule="auto"/>
        <w:rPr>
          <w:rFonts w:cs="Times New Roman"/>
          <w:i w:val="0"/>
          <w:szCs w:val="24"/>
        </w:rPr>
      </w:pPr>
      <w:r>
        <w:rPr>
          <w:rFonts w:cs="Times New Roman"/>
          <w:i w:val="0"/>
          <w:szCs w:val="24"/>
        </w:rPr>
        <w:t>Table 09: Cronbach’s Alpha Coefficients for the Variables</w:t>
      </w:r>
    </w:p>
    <w:p>
      <w:pPr>
        <w:spacing w:line="360" w:lineRule="auto"/>
        <w:ind w:right="60"/>
        <w:jc w:val="both"/>
        <w:rPr>
          <w:rFonts w:cs="Times New Roman"/>
          <w:szCs w:val="24"/>
          <w:lang w:val="en-GB"/>
        </w:rPr>
      </w:pPr>
    </w:p>
    <w:tbl>
      <w:tblPr>
        <w:tblStyle w:val="25"/>
        <w:tblW w:w="7620" w:type="dxa"/>
        <w:tblInd w:w="9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464"/>
        <w:gridCol w:w="1637"/>
        <w:gridCol w:w="1648"/>
        <w:gridCol w:w="1871"/>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6" w:hRule="atLeast"/>
        </w:trPr>
        <w:tc>
          <w:tcPr>
            <w:tcW w:w="2464"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b/>
                <w:bCs/>
                <w:szCs w:val="24"/>
              </w:rPr>
              <w:t>Variables</w:t>
            </w:r>
          </w:p>
        </w:tc>
        <w:tc>
          <w:tcPr>
            <w:tcW w:w="1637"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b/>
                <w:bCs/>
                <w:szCs w:val="24"/>
              </w:rPr>
              <w:t>No of Items</w:t>
            </w:r>
          </w:p>
        </w:tc>
        <w:tc>
          <w:tcPr>
            <w:tcW w:w="1648" w:type="dxa"/>
            <w:tcBorders>
              <w:bottom w:val="single" w:color="auto" w:sz="4" w:space="0"/>
            </w:tcBorders>
            <w:shd w:val="clear" w:color="auto" w:fill="E7E6E6" w:themeFill="background2"/>
          </w:tcPr>
          <w:p>
            <w:pPr>
              <w:spacing w:after="160" w:line="360" w:lineRule="auto"/>
              <w:jc w:val="both"/>
              <w:rPr>
                <w:rFonts w:cs="Times New Roman"/>
                <w:szCs w:val="24"/>
              </w:rPr>
            </w:pPr>
            <w:r>
              <w:rPr>
                <w:rFonts w:cs="Times New Roman"/>
                <w:b/>
                <w:bCs/>
                <w:szCs w:val="24"/>
              </w:rPr>
              <w:t>Cronbach's Alpha</w:t>
            </w:r>
          </w:p>
        </w:tc>
        <w:tc>
          <w:tcPr>
            <w:tcW w:w="1871" w:type="dxa"/>
            <w:tcBorders>
              <w:bottom w:val="single" w:color="auto" w:sz="4" w:space="0"/>
            </w:tcBorders>
            <w:shd w:val="clear" w:color="auto" w:fill="E7E6E6" w:themeFill="background2"/>
          </w:tcPr>
          <w:p>
            <w:pPr>
              <w:spacing w:after="160" w:line="360" w:lineRule="auto"/>
              <w:jc w:val="both"/>
              <w:rPr>
                <w:rFonts w:cs="Times New Roman"/>
                <w:szCs w:val="24"/>
              </w:rPr>
            </w:pPr>
            <w:r>
              <w:rPr>
                <w:rFonts w:cs="Times New Roman"/>
                <w:b/>
                <w:bCs/>
                <w:szCs w:val="24"/>
              </w:rPr>
              <w:t>Rule of thumb</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2464"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b/>
                <w:bCs/>
                <w:szCs w:val="24"/>
              </w:rPr>
              <w:t>Micro credit</w:t>
            </w:r>
          </w:p>
        </w:tc>
        <w:tc>
          <w:tcPr>
            <w:tcW w:w="1637" w:type="dxa"/>
            <w:tcBorders>
              <w:top w:val="single" w:color="auto" w:sz="4" w:space="0"/>
              <w:bottom w:val="single" w:color="auto" w:sz="4" w:space="0"/>
            </w:tcBorders>
          </w:tcPr>
          <w:p>
            <w:pPr>
              <w:spacing w:line="360" w:lineRule="auto"/>
              <w:ind w:left="60" w:right="60"/>
              <w:jc w:val="both"/>
              <w:rPr>
                <w:rFonts w:cs="Times New Roman"/>
                <w:szCs w:val="24"/>
                <w:lang w:val="en-GB"/>
              </w:rPr>
            </w:pPr>
            <w:r>
              <w:rPr>
                <w:rFonts w:cs="Times New Roman"/>
                <w:szCs w:val="24"/>
                <w:lang w:val="en-GB"/>
              </w:rPr>
              <w:t>5</w:t>
            </w:r>
          </w:p>
        </w:tc>
        <w:tc>
          <w:tcPr>
            <w:tcW w:w="1648"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.754</w:t>
            </w:r>
          </w:p>
        </w:tc>
        <w:tc>
          <w:tcPr>
            <w:tcW w:w="1871"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Good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2464"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b/>
                <w:bCs/>
                <w:szCs w:val="24"/>
              </w:rPr>
              <w:t>Micro savings</w:t>
            </w:r>
          </w:p>
        </w:tc>
        <w:tc>
          <w:tcPr>
            <w:tcW w:w="1637" w:type="dxa"/>
            <w:tcBorders>
              <w:top w:val="single" w:color="auto" w:sz="4" w:space="0"/>
              <w:bottom w:val="single" w:color="auto" w:sz="4" w:space="0"/>
            </w:tcBorders>
          </w:tcPr>
          <w:p>
            <w:pPr>
              <w:spacing w:line="360" w:lineRule="auto"/>
              <w:ind w:left="60" w:right="60"/>
              <w:jc w:val="both"/>
              <w:rPr>
                <w:rFonts w:cs="Times New Roman"/>
                <w:szCs w:val="24"/>
                <w:lang w:val="en-GB"/>
              </w:rPr>
            </w:pPr>
            <w:r>
              <w:rPr>
                <w:rFonts w:cs="Times New Roman"/>
                <w:szCs w:val="24"/>
                <w:lang w:val="en-GB"/>
              </w:rPr>
              <w:t>4</w:t>
            </w:r>
          </w:p>
        </w:tc>
        <w:tc>
          <w:tcPr>
            <w:tcW w:w="1648"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.872</w:t>
            </w:r>
          </w:p>
        </w:tc>
        <w:tc>
          <w:tcPr>
            <w:tcW w:w="1871"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Good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2464"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b/>
                <w:bCs/>
                <w:szCs w:val="24"/>
              </w:rPr>
              <w:t>Micro insurance</w:t>
            </w:r>
          </w:p>
        </w:tc>
        <w:tc>
          <w:tcPr>
            <w:tcW w:w="1637" w:type="dxa"/>
            <w:tcBorders>
              <w:top w:val="single" w:color="auto" w:sz="4" w:space="0"/>
              <w:bottom w:val="single" w:color="auto" w:sz="4" w:space="0"/>
            </w:tcBorders>
          </w:tcPr>
          <w:p>
            <w:pPr>
              <w:spacing w:line="360" w:lineRule="auto"/>
              <w:ind w:left="60" w:right="60"/>
              <w:jc w:val="both"/>
              <w:rPr>
                <w:rFonts w:cs="Times New Roman"/>
                <w:szCs w:val="24"/>
                <w:lang w:val="en-GB"/>
              </w:rPr>
            </w:pPr>
            <w:r>
              <w:rPr>
                <w:rFonts w:cs="Times New Roman"/>
                <w:szCs w:val="24"/>
                <w:lang w:val="en-GB"/>
              </w:rPr>
              <w:t>4</w:t>
            </w:r>
          </w:p>
        </w:tc>
        <w:tc>
          <w:tcPr>
            <w:tcW w:w="1648"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.778</w:t>
            </w:r>
          </w:p>
        </w:tc>
        <w:tc>
          <w:tcPr>
            <w:tcW w:w="1871"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Good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2464"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b/>
                <w:bCs/>
                <w:szCs w:val="24"/>
              </w:rPr>
              <w:t>Growth of MSME</w:t>
            </w:r>
          </w:p>
        </w:tc>
        <w:tc>
          <w:tcPr>
            <w:tcW w:w="1637" w:type="dxa"/>
            <w:tcBorders>
              <w:top w:val="single" w:color="auto" w:sz="4" w:space="0"/>
              <w:bottom w:val="single" w:color="auto" w:sz="4" w:space="0"/>
            </w:tcBorders>
          </w:tcPr>
          <w:p>
            <w:pPr>
              <w:spacing w:line="360" w:lineRule="auto"/>
              <w:ind w:left="60" w:right="60"/>
              <w:jc w:val="both"/>
              <w:rPr>
                <w:rFonts w:cs="Times New Roman"/>
                <w:szCs w:val="24"/>
                <w:lang w:val="en-GB"/>
              </w:rPr>
            </w:pPr>
            <w:r>
              <w:rPr>
                <w:rFonts w:cs="Times New Roman"/>
                <w:szCs w:val="24"/>
                <w:lang w:val="en-GB"/>
              </w:rPr>
              <w:t>3</w:t>
            </w:r>
          </w:p>
        </w:tc>
        <w:tc>
          <w:tcPr>
            <w:tcW w:w="1648"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.802</w:t>
            </w:r>
          </w:p>
        </w:tc>
        <w:tc>
          <w:tcPr>
            <w:tcW w:w="1871" w:type="dxa"/>
            <w:tcBorders>
              <w:top w:val="single" w:color="auto" w:sz="4" w:space="0"/>
              <w:bottom w:val="single" w:color="auto" w:sz="4" w:space="0"/>
            </w:tcBorders>
          </w:tcPr>
          <w:p>
            <w:pPr>
              <w:spacing w:after="160" w:line="360" w:lineRule="auto"/>
              <w:jc w:val="both"/>
              <w:rPr>
                <w:rFonts w:cs="Times New Roman"/>
                <w:szCs w:val="24"/>
              </w:rPr>
            </w:pPr>
            <w:r>
              <w:rPr>
                <w:rFonts w:cs="Times New Roman"/>
                <w:szCs w:val="24"/>
              </w:rPr>
              <w:t>Good</w:t>
            </w:r>
          </w:p>
        </w:tc>
      </w:tr>
    </w:tbl>
    <w:p>
      <w:pPr>
        <w:pStyle w:val="9"/>
        <w:keepNext/>
        <w:spacing w:line="360" w:lineRule="auto"/>
        <w:ind w:left="4320" w:firstLine="720"/>
        <w:rPr>
          <w:rFonts w:cs="Times New Roman"/>
          <w:b w:val="0"/>
          <w:iCs w:val="0"/>
          <w:color w:val="000000" w:themeColor="text1"/>
          <w:sz w:val="22"/>
          <w:szCs w:val="22"/>
          <w14:textFill>
            <w14:solidFill>
              <w14:schemeClr w14:val="tx1"/>
            </w14:solidFill>
          </w14:textFill>
        </w:rPr>
      </w:pPr>
      <w:r>
        <w:rPr>
          <w:rFonts w:cs="Times New Roman"/>
          <w:b w:val="0"/>
          <w:iCs w:val="0"/>
          <w:color w:val="000000" w:themeColor="text1"/>
          <w:sz w:val="22"/>
          <w:szCs w:val="22"/>
          <w14:textFill>
            <w14:solidFill>
              <w14:schemeClr w14:val="tx1"/>
            </w14:solidFill>
          </w14:textFill>
        </w:rPr>
        <w:t>Source: survey data</w:t>
      </w:r>
    </w:p>
    <w:p>
      <w:pPr>
        <w:spacing w:line="360" w:lineRule="auto"/>
        <w:jc w:val="both"/>
        <w:rPr>
          <w:rFonts w:cs="Times New Roman"/>
          <w:color w:val="000000" w:themeColor="text1"/>
          <w:szCs w:val="24"/>
          <w14:textFill>
            <w14:solidFill>
              <w14:schemeClr w14:val="tx1"/>
            </w14:solidFill>
          </w14:textFill>
        </w:rPr>
      </w:pPr>
      <w:r>
        <w:rPr>
          <w:rFonts w:cs="Times New Roman"/>
          <w:color w:val="000000" w:themeColor="text1"/>
          <w:szCs w:val="24"/>
          <w14:textFill>
            <w14:solidFill>
              <w14:schemeClr w14:val="tx1"/>
            </w14:solidFill>
          </w14:textFill>
        </w:rPr>
        <w:t>As per the above 8 &amp; 9 table, All Cronbach's Alpha values can be considered of acceptable. So, it can conclude that since all Cronbach's Alpha values are acceptable, reliability of constructs is demonstrated.</w:t>
      </w:r>
    </w:p>
    <w:p>
      <w:pPr>
        <w:spacing w:line="360" w:lineRule="auto"/>
        <w:jc w:val="both"/>
        <w:rPr>
          <w:rFonts w:cs="Times New Roman"/>
          <w:color w:val="000000" w:themeColor="text1"/>
          <w:szCs w:val="24"/>
          <w14:textFill>
            <w14:solidFill>
              <w14:schemeClr w14:val="tx1"/>
            </w14:solidFill>
          </w14:textFill>
        </w:rPr>
      </w:pPr>
    </w:p>
    <w:p>
      <w:pPr>
        <w:pStyle w:val="4"/>
        <w:numPr>
          <w:ilvl w:val="0"/>
          <w:numId w:val="0"/>
        </w:numPr>
        <w:spacing w:line="360" w:lineRule="auto"/>
        <w:rPr>
          <w:rFonts w:cs="Times New Roman"/>
          <w:b w:val="0"/>
          <w:bCs/>
          <w:i/>
          <w:iCs/>
        </w:rPr>
      </w:pPr>
      <w:bookmarkStart w:id="66" w:name="_Toc141558998"/>
      <w:r>
        <w:rPr>
          <w:rFonts w:cs="Times New Roman"/>
          <w:b w:val="0"/>
          <w:bCs/>
          <w:i/>
          <w:iCs/>
          <w:highlight w:val="yellow"/>
        </w:rPr>
        <w:t>Normality</w:t>
      </w:r>
      <w:bookmarkEnd w:id="66"/>
    </w:p>
    <w:p>
      <w:pPr>
        <w:pStyle w:val="8"/>
        <w:spacing w:line="360" w:lineRule="auto"/>
      </w:pPr>
    </w:p>
    <w:p>
      <w:pPr>
        <w:spacing w:line="360" w:lineRule="auto"/>
        <w:jc w:val="both"/>
        <w:rPr>
          <w:rFonts w:cs="Times New Roman"/>
          <w:szCs w:val="24"/>
        </w:rPr>
      </w:pPr>
      <w:r>
        <w:rPr>
          <w:rFonts w:cs="Times New Roman"/>
          <w:szCs w:val="24"/>
        </w:rPr>
        <w:t>To determine if the distribution of the data set is normal, the normality test is employed. Two metrics are employed to judge the normality of the study's data set: skewness and kurtosis. When the curve in a statistical distribution appears to be distorted or slanted to the left or right, there is asymmetry. To quantify how much a distribution deviates from a normal distribution, skewness is used. Kurtosis is a metric for how "tailed" a real-valued random variable's probability distribution is.</w:t>
      </w:r>
    </w:p>
    <w:p>
      <w:pPr>
        <w:spacing w:line="360" w:lineRule="auto"/>
        <w:jc w:val="both"/>
        <w:rPr>
          <w:rFonts w:cs="Times New Roman"/>
          <w:szCs w:val="24"/>
        </w:rPr>
      </w:pPr>
    </w:p>
    <w:p>
      <w:pPr>
        <w:spacing w:line="360" w:lineRule="auto"/>
        <w:jc w:val="both"/>
        <w:rPr>
          <w:rFonts w:cs="Times New Roman"/>
          <w:szCs w:val="24"/>
        </w:rPr>
      </w:pPr>
    </w:p>
    <w:p>
      <w:pPr>
        <w:pStyle w:val="9"/>
        <w:keepNext/>
        <w:spacing w:line="360" w:lineRule="auto"/>
        <w:rPr>
          <w:rFonts w:cs="Times New Roman"/>
          <w:i w:val="0"/>
          <w:szCs w:val="24"/>
        </w:rPr>
      </w:pPr>
      <w:r>
        <w:rPr>
          <w:rFonts w:cs="Times New Roman"/>
          <w:i w:val="0"/>
          <w:szCs w:val="24"/>
        </w:rPr>
        <w:t>Table 10: Skewness and kurtosis Measures</w:t>
      </w:r>
    </w:p>
    <w:p>
      <w:pPr>
        <w:spacing w:line="360" w:lineRule="auto"/>
        <w:jc w:val="both"/>
        <w:rPr>
          <w:rFonts w:cs="Times New Roman"/>
          <w:szCs w:val="24"/>
        </w:rPr>
      </w:pPr>
    </w:p>
    <w:tbl>
      <w:tblPr>
        <w:tblStyle w:val="25"/>
        <w:tblW w:w="7324"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619"/>
        <w:gridCol w:w="1351"/>
        <w:gridCol w:w="601"/>
        <w:gridCol w:w="1020"/>
        <w:gridCol w:w="972"/>
        <w:gridCol w:w="1005"/>
        <w:gridCol w:w="756"/>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restart"/>
            <w:shd w:val="clear" w:color="auto" w:fill="E7E6E6" w:themeFill="background2"/>
          </w:tcPr>
          <w:p>
            <w:pPr>
              <w:spacing w:line="360" w:lineRule="auto"/>
              <w:jc w:val="both"/>
              <w:rPr>
                <w:rFonts w:cs="Times New Roman"/>
                <w:szCs w:val="24"/>
              </w:rPr>
            </w:pPr>
            <w:r>
              <w:rPr>
                <w:rFonts w:cs="Times New Roman"/>
                <w:szCs w:val="24"/>
              </w:rPr>
              <w:t>Variable</w:t>
            </w:r>
          </w:p>
        </w:tc>
        <w:tc>
          <w:tcPr>
            <w:tcW w:w="1351" w:type="dxa"/>
            <w:vMerge w:val="restart"/>
            <w:shd w:val="clear" w:color="auto" w:fill="E7E6E6" w:themeFill="background2"/>
          </w:tcPr>
          <w:p>
            <w:pPr>
              <w:spacing w:line="360" w:lineRule="auto"/>
              <w:jc w:val="both"/>
              <w:rPr>
                <w:rFonts w:cs="Times New Roman"/>
                <w:szCs w:val="24"/>
              </w:rPr>
            </w:pPr>
            <w:r>
              <w:rPr>
                <w:rFonts w:cs="Times New Roman"/>
                <w:szCs w:val="24"/>
              </w:rPr>
              <w:t>Item</w:t>
            </w:r>
          </w:p>
        </w:tc>
        <w:tc>
          <w:tcPr>
            <w:tcW w:w="601" w:type="dxa"/>
            <w:shd w:val="clear" w:color="auto" w:fill="E7E6E6" w:themeFill="background2"/>
          </w:tcPr>
          <w:p>
            <w:pPr>
              <w:spacing w:line="360" w:lineRule="auto"/>
              <w:jc w:val="both"/>
              <w:rPr>
                <w:rFonts w:cs="Times New Roman"/>
                <w:szCs w:val="24"/>
              </w:rPr>
            </w:pPr>
            <w:r>
              <w:rPr>
                <w:rFonts w:cs="Times New Roman"/>
                <w:szCs w:val="24"/>
              </w:rPr>
              <w:t>N</w:t>
            </w:r>
          </w:p>
        </w:tc>
        <w:tc>
          <w:tcPr>
            <w:tcW w:w="1992" w:type="dxa"/>
            <w:gridSpan w:val="2"/>
            <w:shd w:val="clear" w:color="auto" w:fill="E7E6E6" w:themeFill="background2"/>
          </w:tcPr>
          <w:p>
            <w:pPr>
              <w:spacing w:line="360" w:lineRule="auto"/>
              <w:jc w:val="both"/>
              <w:rPr>
                <w:rFonts w:cs="Times New Roman"/>
                <w:szCs w:val="24"/>
              </w:rPr>
            </w:pPr>
            <w:r>
              <w:rPr>
                <w:rFonts w:cs="Times New Roman"/>
                <w:szCs w:val="24"/>
              </w:rPr>
              <w:t>Skewness</w:t>
            </w:r>
          </w:p>
        </w:tc>
        <w:tc>
          <w:tcPr>
            <w:tcW w:w="1761" w:type="dxa"/>
            <w:gridSpan w:val="2"/>
            <w:shd w:val="clear" w:color="auto" w:fill="E7E6E6" w:themeFill="background2"/>
          </w:tcPr>
          <w:p>
            <w:pPr>
              <w:spacing w:line="360" w:lineRule="auto"/>
              <w:jc w:val="both"/>
              <w:rPr>
                <w:rFonts w:cs="Times New Roman"/>
                <w:szCs w:val="24"/>
              </w:rPr>
            </w:pPr>
            <w:r>
              <w:rPr>
                <w:rFonts w:cs="Times New Roman"/>
                <w:szCs w:val="24"/>
              </w:rPr>
              <w:t>Kurtosis</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shd w:val="clear" w:color="auto" w:fill="E7E6E6" w:themeFill="background2"/>
          </w:tcPr>
          <w:p>
            <w:pPr>
              <w:spacing w:line="360" w:lineRule="auto"/>
              <w:jc w:val="both"/>
              <w:rPr>
                <w:rFonts w:cs="Times New Roman"/>
                <w:szCs w:val="24"/>
              </w:rPr>
            </w:pPr>
          </w:p>
        </w:tc>
        <w:tc>
          <w:tcPr>
            <w:tcW w:w="1351" w:type="dxa"/>
            <w:vMerge w:val="continue"/>
            <w:shd w:val="clear" w:color="auto" w:fill="E7E6E6" w:themeFill="background2"/>
          </w:tcPr>
          <w:p>
            <w:pPr>
              <w:spacing w:line="360" w:lineRule="auto"/>
              <w:jc w:val="both"/>
              <w:rPr>
                <w:rFonts w:cs="Times New Roman"/>
                <w:szCs w:val="24"/>
              </w:rPr>
            </w:pPr>
          </w:p>
        </w:tc>
        <w:tc>
          <w:tcPr>
            <w:tcW w:w="601" w:type="dxa"/>
            <w:shd w:val="clear" w:color="auto" w:fill="E7E6E6" w:themeFill="background2"/>
          </w:tcPr>
          <w:p>
            <w:pPr>
              <w:spacing w:line="360" w:lineRule="auto"/>
              <w:jc w:val="both"/>
              <w:rPr>
                <w:rFonts w:cs="Times New Roman"/>
                <w:szCs w:val="24"/>
              </w:rPr>
            </w:pPr>
            <w:r>
              <w:rPr>
                <w:rFonts w:cs="Times New Roman"/>
                <w:szCs w:val="24"/>
              </w:rPr>
              <w:t>Stat.</w:t>
            </w:r>
          </w:p>
        </w:tc>
        <w:tc>
          <w:tcPr>
            <w:tcW w:w="1020" w:type="dxa"/>
            <w:shd w:val="clear" w:color="auto" w:fill="E7E6E6" w:themeFill="background2"/>
          </w:tcPr>
          <w:p>
            <w:pPr>
              <w:spacing w:line="360" w:lineRule="auto"/>
              <w:jc w:val="both"/>
              <w:rPr>
                <w:rFonts w:cs="Times New Roman"/>
                <w:szCs w:val="24"/>
              </w:rPr>
            </w:pPr>
            <w:r>
              <w:rPr>
                <w:rFonts w:cs="Times New Roman"/>
                <w:szCs w:val="24"/>
              </w:rPr>
              <w:t>Stat.</w:t>
            </w:r>
          </w:p>
        </w:tc>
        <w:tc>
          <w:tcPr>
            <w:tcW w:w="972" w:type="dxa"/>
            <w:shd w:val="clear" w:color="auto" w:fill="E7E6E6" w:themeFill="background2"/>
          </w:tcPr>
          <w:p>
            <w:pPr>
              <w:spacing w:line="360" w:lineRule="auto"/>
              <w:jc w:val="both"/>
              <w:rPr>
                <w:rFonts w:cs="Times New Roman"/>
                <w:szCs w:val="24"/>
              </w:rPr>
            </w:pPr>
            <w:r>
              <w:rPr>
                <w:rFonts w:cs="Times New Roman"/>
                <w:szCs w:val="24"/>
              </w:rPr>
              <w:t>Std. Error</w:t>
            </w:r>
          </w:p>
        </w:tc>
        <w:tc>
          <w:tcPr>
            <w:tcW w:w="1005" w:type="dxa"/>
            <w:shd w:val="clear" w:color="auto" w:fill="E7E6E6" w:themeFill="background2"/>
          </w:tcPr>
          <w:p>
            <w:pPr>
              <w:spacing w:line="360" w:lineRule="auto"/>
              <w:jc w:val="both"/>
              <w:rPr>
                <w:rFonts w:cs="Times New Roman"/>
                <w:szCs w:val="24"/>
              </w:rPr>
            </w:pPr>
            <w:r>
              <w:rPr>
                <w:rFonts w:cs="Times New Roman"/>
                <w:szCs w:val="24"/>
              </w:rPr>
              <w:t>Statistic</w:t>
            </w:r>
          </w:p>
        </w:tc>
        <w:tc>
          <w:tcPr>
            <w:tcW w:w="756" w:type="dxa"/>
            <w:shd w:val="clear" w:color="auto" w:fill="E7E6E6" w:themeFill="background2"/>
          </w:tcPr>
          <w:p>
            <w:pPr>
              <w:spacing w:line="360" w:lineRule="auto"/>
              <w:jc w:val="both"/>
              <w:rPr>
                <w:rFonts w:cs="Times New Roman"/>
                <w:szCs w:val="24"/>
              </w:rPr>
            </w:pPr>
            <w:r>
              <w:rPr>
                <w:rFonts w:cs="Times New Roman"/>
                <w:szCs w:val="24"/>
              </w:rPr>
              <w:t>Std. Error</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restart"/>
          </w:tcPr>
          <w:p>
            <w:pPr>
              <w:spacing w:line="360" w:lineRule="auto"/>
              <w:jc w:val="both"/>
              <w:rPr>
                <w:rFonts w:cs="Times New Roman"/>
                <w:b/>
                <w:bCs/>
                <w:szCs w:val="24"/>
              </w:rPr>
            </w:pPr>
            <w:r>
              <w:rPr>
                <w:rFonts w:cs="Times New Roman"/>
                <w:b/>
                <w:bCs/>
                <w:szCs w:val="24"/>
              </w:rPr>
              <w:t xml:space="preserve">Micro </w:t>
            </w:r>
          </w:p>
          <w:p>
            <w:pPr>
              <w:spacing w:line="360" w:lineRule="auto"/>
              <w:jc w:val="both"/>
              <w:rPr>
                <w:rFonts w:cs="Times New Roman"/>
                <w:b/>
                <w:bCs/>
                <w:szCs w:val="24"/>
              </w:rPr>
            </w:pPr>
            <w:r>
              <w:rPr>
                <w:rFonts w:cs="Times New Roman"/>
                <w:b/>
                <w:bCs/>
                <w:szCs w:val="24"/>
              </w:rPr>
              <w:t>credit</w:t>
            </w:r>
          </w:p>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MC-1</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-1.240</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1.779</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MC-2</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-1.282</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1.574</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MC-3</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-.968</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.785</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MC-4</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-.732</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.072</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MC-5</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-.598</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1.393</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restart"/>
          </w:tcPr>
          <w:p>
            <w:pPr>
              <w:spacing w:line="360" w:lineRule="auto"/>
              <w:jc w:val="both"/>
              <w:rPr>
                <w:rFonts w:cs="Times New Roman"/>
                <w:b/>
                <w:bCs/>
                <w:szCs w:val="24"/>
              </w:rPr>
            </w:pPr>
            <w:r>
              <w:rPr>
                <w:rFonts w:cs="Times New Roman"/>
                <w:b/>
                <w:bCs/>
                <w:szCs w:val="24"/>
              </w:rPr>
              <w:t>Micro savings</w:t>
            </w:r>
          </w:p>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MS-1</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-1.380</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2.001</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MS-2</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-1.213</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1.185</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MS-3</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-1.001</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.260</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MS-4</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-1.092</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.821</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restart"/>
          </w:tcPr>
          <w:p>
            <w:pPr>
              <w:spacing w:line="360" w:lineRule="auto"/>
              <w:jc w:val="both"/>
              <w:rPr>
                <w:rFonts w:cs="Times New Roman"/>
                <w:b/>
                <w:bCs/>
                <w:szCs w:val="24"/>
              </w:rPr>
            </w:pPr>
            <w:r>
              <w:rPr>
                <w:rFonts w:cs="Times New Roman"/>
                <w:b/>
                <w:bCs/>
                <w:szCs w:val="24"/>
              </w:rPr>
              <w:t>Micro insurance</w:t>
            </w:r>
          </w:p>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MI-1</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-.792</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1.527</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MI-2</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-1.066</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1.809</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MI-3</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-1.422</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1.072</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Pr>
          <w:p>
            <w:pPr>
              <w:spacing w:line="360" w:lineRule="auto"/>
              <w:jc w:val="both"/>
              <w:rPr>
                <w:rFonts w:cs="Times New Roman"/>
                <w:szCs w:val="24"/>
              </w:rPr>
            </w:pPr>
            <w:r>
              <w:rPr>
                <w:rFonts w:cs="Times New Roman"/>
                <w:szCs w:val="24"/>
              </w:rPr>
              <w:t>MI-4</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-1.224</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1.093</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restart"/>
          </w:tcPr>
          <w:p>
            <w:pPr>
              <w:spacing w:line="360" w:lineRule="auto"/>
              <w:jc w:val="both"/>
              <w:rPr>
                <w:rFonts w:cs="Times New Roman"/>
                <w:szCs w:val="24"/>
              </w:rPr>
            </w:pPr>
            <w:r>
              <w:rPr>
                <w:rFonts w:cs="Times New Roman"/>
                <w:b/>
                <w:bCs/>
                <w:szCs w:val="24"/>
              </w:rPr>
              <w:t>Growth of MSME</w:t>
            </w:r>
          </w:p>
        </w:tc>
        <w:tc>
          <w:tcPr>
            <w:tcW w:w="1351" w:type="dxa"/>
          </w:tcPr>
          <w:p>
            <w:pPr>
              <w:spacing w:line="360" w:lineRule="auto"/>
              <w:jc w:val="both"/>
              <w:rPr>
                <w:rFonts w:cs="Times New Roman"/>
                <w:szCs w:val="24"/>
              </w:rPr>
            </w:pPr>
            <w:r>
              <w:rPr>
                <w:rFonts w:cs="Times New Roman"/>
                <w:szCs w:val="24"/>
              </w:rPr>
              <w:t>GMSME-1</w:t>
            </w:r>
          </w:p>
        </w:tc>
        <w:tc>
          <w:tcPr>
            <w:tcW w:w="601" w:type="dxa"/>
          </w:tcPr>
          <w:p>
            <w:pPr>
              <w:spacing w:line="360" w:lineRule="auto"/>
              <w:jc w:val="both"/>
              <w:rPr>
                <w:rFonts w:cs="Times New Roman"/>
                <w:szCs w:val="24"/>
              </w:rPr>
            </w:pPr>
            <w:r>
              <w:rPr>
                <w:rFonts w:cs="Times New Roman"/>
                <w:szCs w:val="24"/>
              </w:rPr>
              <w:t>250</w:t>
            </w:r>
          </w:p>
        </w:tc>
        <w:tc>
          <w:tcPr>
            <w:tcW w:w="1020" w:type="dxa"/>
          </w:tcPr>
          <w:p>
            <w:pPr>
              <w:spacing w:line="360" w:lineRule="auto"/>
              <w:ind w:left="60" w:right="60"/>
              <w:jc w:val="both"/>
              <w:rPr>
                <w:rFonts w:cs="Times New Roman"/>
                <w:szCs w:val="24"/>
              </w:rPr>
            </w:pPr>
            <w:r>
              <w:rPr>
                <w:rFonts w:cs="Times New Roman"/>
                <w:szCs w:val="24"/>
              </w:rPr>
              <w:t>-1.147</w:t>
            </w:r>
          </w:p>
        </w:tc>
        <w:tc>
          <w:tcPr>
            <w:tcW w:w="972" w:type="dxa"/>
          </w:tcPr>
          <w:p>
            <w:pPr>
              <w:spacing w:line="360" w:lineRule="auto"/>
              <w:ind w:left="60" w:right="60"/>
              <w:jc w:val="both"/>
              <w:rPr>
                <w:rFonts w:cs="Times New Roman"/>
                <w:szCs w:val="24"/>
              </w:rPr>
            </w:pPr>
            <w:r>
              <w:rPr>
                <w:rFonts w:cs="Times New Roman"/>
                <w:szCs w:val="24"/>
              </w:rPr>
              <w:t>.154</w:t>
            </w:r>
          </w:p>
        </w:tc>
        <w:tc>
          <w:tcPr>
            <w:tcW w:w="1005" w:type="dxa"/>
          </w:tcPr>
          <w:p>
            <w:pPr>
              <w:spacing w:line="360" w:lineRule="auto"/>
              <w:ind w:left="60" w:right="60"/>
              <w:jc w:val="both"/>
              <w:rPr>
                <w:rFonts w:cs="Times New Roman"/>
                <w:szCs w:val="24"/>
              </w:rPr>
            </w:pPr>
            <w:r>
              <w:rPr>
                <w:rFonts w:cs="Times New Roman"/>
                <w:szCs w:val="24"/>
              </w:rPr>
              <w:t>.968</w:t>
            </w:r>
          </w:p>
        </w:tc>
        <w:tc>
          <w:tcPr>
            <w:tcW w:w="756" w:type="dxa"/>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Borders>
              <w:bottom w:val="single" w:color="auto" w:sz="4" w:space="0"/>
            </w:tcBorders>
          </w:tcPr>
          <w:p>
            <w:pPr>
              <w:spacing w:line="360" w:lineRule="auto"/>
              <w:jc w:val="both"/>
              <w:rPr>
                <w:rFonts w:cs="Times New Roman"/>
                <w:szCs w:val="24"/>
              </w:rPr>
            </w:pPr>
            <w:r>
              <w:rPr>
                <w:rFonts w:cs="Times New Roman"/>
                <w:szCs w:val="24"/>
              </w:rPr>
              <w:t>GMSME-2</w:t>
            </w:r>
          </w:p>
        </w:tc>
        <w:tc>
          <w:tcPr>
            <w:tcW w:w="601" w:type="dxa"/>
            <w:tcBorders>
              <w:bottom w:val="single" w:color="auto" w:sz="4" w:space="0"/>
            </w:tcBorders>
          </w:tcPr>
          <w:p>
            <w:pPr>
              <w:spacing w:line="360" w:lineRule="auto"/>
              <w:jc w:val="both"/>
              <w:rPr>
                <w:rFonts w:cs="Times New Roman"/>
                <w:szCs w:val="24"/>
              </w:rPr>
            </w:pPr>
            <w:r>
              <w:rPr>
                <w:rFonts w:cs="Times New Roman"/>
                <w:szCs w:val="24"/>
              </w:rPr>
              <w:t>250</w:t>
            </w:r>
          </w:p>
        </w:tc>
        <w:tc>
          <w:tcPr>
            <w:tcW w:w="1020" w:type="dxa"/>
            <w:tcBorders>
              <w:bottom w:val="single" w:color="auto" w:sz="4" w:space="0"/>
            </w:tcBorders>
          </w:tcPr>
          <w:p>
            <w:pPr>
              <w:spacing w:line="360" w:lineRule="auto"/>
              <w:ind w:left="60" w:right="60"/>
              <w:jc w:val="both"/>
              <w:rPr>
                <w:rFonts w:cs="Times New Roman"/>
                <w:szCs w:val="24"/>
              </w:rPr>
            </w:pPr>
            <w:r>
              <w:rPr>
                <w:rFonts w:cs="Times New Roman"/>
                <w:szCs w:val="24"/>
              </w:rPr>
              <w:t>-1.083</w:t>
            </w:r>
          </w:p>
        </w:tc>
        <w:tc>
          <w:tcPr>
            <w:tcW w:w="972" w:type="dxa"/>
            <w:tcBorders>
              <w:bottom w:val="single" w:color="auto" w:sz="4" w:space="0"/>
            </w:tcBorders>
          </w:tcPr>
          <w:p>
            <w:pPr>
              <w:spacing w:line="360" w:lineRule="auto"/>
              <w:ind w:left="60" w:right="60"/>
              <w:jc w:val="both"/>
              <w:rPr>
                <w:rFonts w:cs="Times New Roman"/>
                <w:szCs w:val="24"/>
              </w:rPr>
            </w:pPr>
            <w:r>
              <w:rPr>
                <w:rFonts w:cs="Times New Roman"/>
                <w:szCs w:val="24"/>
              </w:rPr>
              <w:t>.154</w:t>
            </w:r>
          </w:p>
        </w:tc>
        <w:tc>
          <w:tcPr>
            <w:tcW w:w="1005" w:type="dxa"/>
            <w:tcBorders>
              <w:bottom w:val="single" w:color="auto" w:sz="4" w:space="0"/>
            </w:tcBorders>
          </w:tcPr>
          <w:p>
            <w:pPr>
              <w:spacing w:line="360" w:lineRule="auto"/>
              <w:ind w:left="60" w:right="60"/>
              <w:jc w:val="both"/>
              <w:rPr>
                <w:rFonts w:cs="Times New Roman"/>
                <w:szCs w:val="24"/>
              </w:rPr>
            </w:pPr>
            <w:r>
              <w:rPr>
                <w:rFonts w:cs="Times New Roman"/>
                <w:szCs w:val="24"/>
              </w:rPr>
              <w:t>.444</w:t>
            </w:r>
          </w:p>
        </w:tc>
        <w:tc>
          <w:tcPr>
            <w:tcW w:w="756" w:type="dxa"/>
            <w:tcBorders>
              <w:bottom w:val="single" w:color="auto" w:sz="4" w:space="0"/>
            </w:tcBorders>
          </w:tcPr>
          <w:p>
            <w:pPr>
              <w:spacing w:line="360" w:lineRule="auto"/>
              <w:ind w:left="60" w:right="60"/>
              <w:jc w:val="both"/>
              <w:rPr>
                <w:rFonts w:cs="Times New Roman"/>
                <w:szCs w:val="24"/>
              </w:rPr>
            </w:pPr>
            <w:r>
              <w:rPr>
                <w:rFonts w:cs="Times New Roman"/>
                <w:szCs w:val="24"/>
              </w:rPr>
              <w:t>.307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 w:hRule="atLeast"/>
        </w:trPr>
        <w:tc>
          <w:tcPr>
            <w:tcW w:w="1619" w:type="dxa"/>
            <w:vMerge w:val="continue"/>
          </w:tcPr>
          <w:p>
            <w:pPr>
              <w:spacing w:line="360" w:lineRule="auto"/>
              <w:jc w:val="both"/>
              <w:rPr>
                <w:rFonts w:cs="Times New Roman"/>
                <w:szCs w:val="24"/>
              </w:rPr>
            </w:pPr>
          </w:p>
        </w:tc>
        <w:tc>
          <w:tcPr>
            <w:tcW w:w="1351"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GMSME-3</w:t>
            </w:r>
          </w:p>
        </w:tc>
        <w:tc>
          <w:tcPr>
            <w:tcW w:w="601"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250</w:t>
            </w:r>
          </w:p>
        </w:tc>
        <w:tc>
          <w:tcPr>
            <w:tcW w:w="1020"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-1.432</w:t>
            </w:r>
          </w:p>
        </w:tc>
        <w:tc>
          <w:tcPr>
            <w:tcW w:w="972"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.154</w:t>
            </w:r>
          </w:p>
        </w:tc>
        <w:tc>
          <w:tcPr>
            <w:tcW w:w="1005"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1.249</w:t>
            </w:r>
          </w:p>
        </w:tc>
        <w:tc>
          <w:tcPr>
            <w:tcW w:w="756"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.307</w:t>
            </w:r>
          </w:p>
        </w:tc>
      </w:tr>
    </w:tbl>
    <w:p>
      <w:pPr>
        <w:spacing w:line="360" w:lineRule="auto"/>
        <w:ind w:left="4320" w:firstLine="720"/>
        <w:jc w:val="both"/>
        <w:rPr>
          <w:rFonts w:cs="Times New Roman"/>
          <w:i/>
          <w:iCs/>
          <w:color w:val="000000" w:themeColor="text1"/>
          <w:sz w:val="22"/>
          <w:szCs w:val="22"/>
          <w14:textFill>
            <w14:solidFill>
              <w14:schemeClr w14:val="tx1"/>
            </w14:solidFill>
          </w14:textFill>
        </w:rPr>
      </w:pPr>
      <w:r>
        <w:rPr>
          <w:rFonts w:cs="Times New Roman"/>
          <w:i/>
          <w:iCs/>
          <w:color w:val="000000" w:themeColor="text1"/>
          <w:sz w:val="22"/>
          <w:szCs w:val="22"/>
          <w14:textFill>
            <w14:solidFill>
              <w14:schemeClr w14:val="tx1"/>
            </w14:solidFill>
          </w14:textFill>
        </w:rPr>
        <w:t>Source: survey data</w:t>
      </w:r>
    </w:p>
    <w:p>
      <w:pPr>
        <w:spacing w:line="360" w:lineRule="auto"/>
        <w:jc w:val="both"/>
        <w:rPr>
          <w:rFonts w:cs="Times New Roman"/>
          <w:szCs w:val="24"/>
        </w:rPr>
      </w:pPr>
    </w:p>
    <w:p>
      <w:pPr>
        <w:spacing w:line="360" w:lineRule="auto"/>
        <w:jc w:val="both"/>
        <w:rPr>
          <w:rFonts w:cs="Times New Roman"/>
          <w:szCs w:val="24"/>
        </w:rPr>
      </w:pPr>
    </w:p>
    <w:p>
      <w:pPr>
        <w:spacing w:line="360" w:lineRule="auto"/>
        <w:jc w:val="both"/>
        <w:rPr>
          <w:rFonts w:cs="Times New Roman"/>
          <w:color w:val="000000" w:themeColor="text1"/>
          <w:szCs w:val="24"/>
          <w14:textFill>
            <w14:solidFill>
              <w14:schemeClr w14:val="tx1"/>
            </w14:solidFill>
          </w14:textFill>
        </w:rPr>
      </w:pPr>
      <w:r>
        <w:rPr>
          <w:rFonts w:cs="Times New Roman"/>
          <w:color w:val="000000" w:themeColor="text1"/>
          <w:szCs w:val="24"/>
          <w14:textFill>
            <w14:solidFill>
              <w14:schemeClr w14:val="tx1"/>
            </w14:solidFill>
          </w14:textFill>
        </w:rPr>
        <w:t>According to the table 10 all the skewness and kurtosis vales are existing between the “+2 to -2”. So, researcher can conclude that data set of this study normally distributed and appropriately skewed.</w:t>
      </w:r>
    </w:p>
    <w:p>
      <w:pPr>
        <w:pStyle w:val="4"/>
        <w:numPr>
          <w:ilvl w:val="0"/>
          <w:numId w:val="0"/>
        </w:numPr>
        <w:spacing w:line="360" w:lineRule="auto"/>
        <w:rPr>
          <w:rFonts w:cs="Times New Roman"/>
          <w:b w:val="0"/>
          <w:bCs/>
          <w:i/>
          <w:iCs/>
        </w:rPr>
      </w:pPr>
      <w:bookmarkStart w:id="67" w:name="_Toc125922293"/>
      <w:bookmarkStart w:id="68" w:name="_Toc141558995"/>
      <w:r>
        <w:rPr>
          <w:rFonts w:cs="Times New Roman"/>
          <w:b w:val="0"/>
          <w:bCs/>
          <w:i/>
          <w:iCs/>
          <w:highlight w:val="yellow"/>
        </w:rPr>
        <w:t>Frequency distribution analysis for variables</w:t>
      </w:r>
      <w:bookmarkEnd w:id="67"/>
      <w:bookmarkEnd w:id="68"/>
    </w:p>
    <w:p>
      <w:pPr>
        <w:pStyle w:val="8"/>
        <w:spacing w:line="360" w:lineRule="auto"/>
      </w:pPr>
    </w:p>
    <w:p>
      <w:pPr>
        <w:spacing w:line="360" w:lineRule="auto"/>
        <w:jc w:val="both"/>
        <w:rPr>
          <w:rFonts w:cs="Times New Roman"/>
          <w:szCs w:val="24"/>
        </w:rPr>
      </w:pPr>
      <w:r>
        <w:rPr>
          <w:rFonts w:cs="Times New Roman"/>
          <w:szCs w:val="24"/>
        </w:rPr>
        <w:t>This section evaluates the data set's dispersion, measures of variability, and central tendency. The mean value of each questionnaire item was used to measure the central tendency and the standard deviation values of each questionnaire item to measure the dispersion of the data set in order to conduct a frequency distribution analysis for variables. Standard deviations should be under four in measurement scales. If exceeded, the mean value of the responses experienced several variances</w:t>
      </w:r>
    </w:p>
    <w:p>
      <w:pPr>
        <w:spacing w:line="360" w:lineRule="auto"/>
        <w:jc w:val="both"/>
        <w:rPr>
          <w:rFonts w:cs="Times New Roman"/>
          <w:szCs w:val="24"/>
        </w:rPr>
      </w:pPr>
    </w:p>
    <w:p>
      <w:pPr>
        <w:pStyle w:val="9"/>
        <w:keepNext/>
        <w:spacing w:line="360" w:lineRule="auto"/>
        <w:rPr>
          <w:rFonts w:cs="Times New Roman"/>
          <w:i w:val="0"/>
          <w:szCs w:val="24"/>
        </w:rPr>
      </w:pPr>
      <w:bookmarkStart w:id="69" w:name="_Toc122095175"/>
      <w:r>
        <w:rPr>
          <w:rFonts w:cs="Times New Roman"/>
          <w:i w:val="0"/>
          <w:szCs w:val="24"/>
        </w:rPr>
        <w:t>Table 11: Central tendency measures and standard deviation for independent and dependent variables</w:t>
      </w:r>
      <w:bookmarkEnd w:id="69"/>
    </w:p>
    <w:tbl>
      <w:tblPr>
        <w:tblStyle w:val="26"/>
        <w:tblW w:w="78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03"/>
        <w:gridCol w:w="1327"/>
        <w:gridCol w:w="596"/>
        <w:gridCol w:w="803"/>
        <w:gridCol w:w="1003"/>
        <w:gridCol w:w="1220"/>
        <w:gridCol w:w="92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5" w:hRule="atLeast"/>
        </w:trPr>
        <w:tc>
          <w:tcPr>
            <w:tcW w:w="2003" w:type="dxa"/>
            <w:vMerge w:val="restart"/>
            <w:tcBorders>
              <w:top w:val="single" w:color="auto" w:sz="4" w:space="0"/>
              <w:bottom w:val="single" w:color="8EAADB" w:themeColor="accent1" w:themeTint="99" w:sz="12" w:space="0"/>
              <w:insideH w:val="single" w:sz="12" w:space="0"/>
            </w:tcBorders>
            <w:shd w:val="clear" w:color="auto" w:fill="E7E6E6" w:themeFill="background2"/>
          </w:tcPr>
          <w:p>
            <w:pPr>
              <w:tabs>
                <w:tab w:val="left" w:pos="1311"/>
              </w:tabs>
              <w:spacing w:line="360" w:lineRule="auto"/>
              <w:jc w:val="both"/>
              <w:rPr>
                <w:rFonts w:cs="Times New Roman"/>
                <w:b/>
                <w:bCs/>
                <w:szCs w:val="24"/>
              </w:rPr>
            </w:pPr>
            <w:r>
              <w:rPr>
                <w:rFonts w:cs="Times New Roman"/>
                <w:b/>
                <w:bCs/>
                <w:szCs w:val="24"/>
              </w:rPr>
              <w:t>Variable</w:t>
            </w:r>
            <w:r>
              <w:rPr>
                <w:rFonts w:cs="Times New Roman"/>
                <w:b/>
                <w:bCs/>
                <w:szCs w:val="24"/>
              </w:rPr>
              <w:tab/>
            </w:r>
          </w:p>
        </w:tc>
        <w:tc>
          <w:tcPr>
            <w:tcW w:w="1327" w:type="dxa"/>
            <w:vMerge w:val="restart"/>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bCs/>
                <w:szCs w:val="24"/>
              </w:rPr>
            </w:pPr>
            <w:r>
              <w:rPr>
                <w:rFonts w:cs="Times New Roman"/>
                <w:b/>
                <w:bCs/>
                <w:szCs w:val="24"/>
              </w:rPr>
              <w:t>Item</w:t>
            </w:r>
          </w:p>
        </w:tc>
        <w:tc>
          <w:tcPr>
            <w:tcW w:w="596" w:type="dxa"/>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bCs/>
                <w:szCs w:val="24"/>
              </w:rPr>
            </w:pPr>
            <w:r>
              <w:rPr>
                <w:rFonts w:cs="Times New Roman"/>
                <w:b/>
                <w:bCs/>
                <w:szCs w:val="24"/>
              </w:rPr>
              <w:t>N</w:t>
            </w:r>
          </w:p>
        </w:tc>
        <w:tc>
          <w:tcPr>
            <w:tcW w:w="803" w:type="dxa"/>
            <w:vMerge w:val="restart"/>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bCs/>
                <w:szCs w:val="24"/>
              </w:rPr>
            </w:pPr>
            <w:r>
              <w:rPr>
                <w:rFonts w:cs="Times New Roman"/>
                <w:b/>
                <w:bCs/>
                <w:szCs w:val="24"/>
              </w:rPr>
              <w:t>Mean</w:t>
            </w:r>
          </w:p>
        </w:tc>
        <w:tc>
          <w:tcPr>
            <w:tcW w:w="1003" w:type="dxa"/>
            <w:vMerge w:val="restart"/>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bCs/>
                <w:szCs w:val="24"/>
              </w:rPr>
            </w:pPr>
            <w:r>
              <w:rPr>
                <w:rFonts w:cs="Times New Roman"/>
                <w:b/>
                <w:bCs/>
                <w:szCs w:val="24"/>
              </w:rPr>
              <w:t>Median</w:t>
            </w:r>
          </w:p>
        </w:tc>
        <w:tc>
          <w:tcPr>
            <w:tcW w:w="1220" w:type="dxa"/>
            <w:vMerge w:val="restart"/>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bCs/>
                <w:szCs w:val="24"/>
              </w:rPr>
            </w:pPr>
            <w:r>
              <w:rPr>
                <w:rFonts w:cs="Times New Roman"/>
                <w:b/>
                <w:bCs/>
                <w:szCs w:val="24"/>
              </w:rPr>
              <w:t>Std. Deviation</w:t>
            </w:r>
          </w:p>
        </w:tc>
        <w:tc>
          <w:tcPr>
            <w:tcW w:w="928" w:type="dxa"/>
            <w:vMerge w:val="restart"/>
            <w:tcBorders>
              <w:top w:val="single" w:color="auto" w:sz="4" w:space="0"/>
              <w:bottom w:val="single" w:color="8EAADB" w:themeColor="accent1" w:themeTint="99" w:sz="12" w:space="0"/>
              <w:insideH w:val="single" w:sz="12" w:space="0"/>
            </w:tcBorders>
            <w:shd w:val="clear" w:color="auto" w:fill="E7E6E6" w:themeFill="background2"/>
          </w:tcPr>
          <w:p>
            <w:pPr>
              <w:spacing w:line="360" w:lineRule="auto"/>
              <w:jc w:val="both"/>
              <w:rPr>
                <w:rFonts w:cs="Times New Roman"/>
                <w:b/>
                <w:bCs/>
                <w:szCs w:val="24"/>
              </w:rPr>
            </w:pPr>
            <w:r>
              <w:rPr>
                <w:rFonts w:cs="Times New Roman"/>
                <w:b/>
                <w:bCs/>
                <w:szCs w:val="24"/>
              </w:rPr>
              <w:t>Var.</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1" w:hRule="atLeast"/>
        </w:trPr>
        <w:tc>
          <w:tcPr>
            <w:tcW w:w="2003" w:type="dxa"/>
            <w:vMerge w:val="continue"/>
          </w:tcPr>
          <w:p>
            <w:pPr>
              <w:spacing w:line="360" w:lineRule="auto"/>
              <w:jc w:val="both"/>
              <w:rPr>
                <w:rFonts w:cs="Times New Roman"/>
                <w:b/>
                <w:bCs/>
                <w:szCs w:val="24"/>
              </w:rPr>
            </w:pPr>
          </w:p>
        </w:tc>
        <w:tc>
          <w:tcPr>
            <w:tcW w:w="1327" w:type="dxa"/>
            <w:vMerge w:val="continue"/>
          </w:tcPr>
          <w:p>
            <w:pPr>
              <w:spacing w:line="360" w:lineRule="auto"/>
              <w:jc w:val="both"/>
              <w:rPr>
                <w:rFonts w:cs="Times New Roman"/>
                <w:szCs w:val="24"/>
              </w:rPr>
            </w:pPr>
          </w:p>
        </w:tc>
        <w:tc>
          <w:tcPr>
            <w:tcW w:w="596" w:type="dxa"/>
          </w:tcPr>
          <w:p>
            <w:pPr>
              <w:spacing w:line="360" w:lineRule="auto"/>
              <w:jc w:val="both"/>
              <w:rPr>
                <w:rFonts w:cs="Times New Roman"/>
                <w:szCs w:val="24"/>
              </w:rPr>
            </w:pPr>
          </w:p>
        </w:tc>
        <w:tc>
          <w:tcPr>
            <w:tcW w:w="803" w:type="dxa"/>
            <w:vMerge w:val="continue"/>
          </w:tcPr>
          <w:p>
            <w:pPr>
              <w:spacing w:line="360" w:lineRule="auto"/>
              <w:jc w:val="both"/>
              <w:rPr>
                <w:rFonts w:cs="Times New Roman"/>
                <w:szCs w:val="24"/>
              </w:rPr>
            </w:pPr>
          </w:p>
        </w:tc>
        <w:tc>
          <w:tcPr>
            <w:tcW w:w="1003" w:type="dxa"/>
            <w:vMerge w:val="continue"/>
          </w:tcPr>
          <w:p>
            <w:pPr>
              <w:spacing w:line="360" w:lineRule="auto"/>
              <w:jc w:val="both"/>
              <w:rPr>
                <w:rFonts w:cs="Times New Roman"/>
                <w:szCs w:val="24"/>
              </w:rPr>
            </w:pPr>
          </w:p>
        </w:tc>
        <w:tc>
          <w:tcPr>
            <w:tcW w:w="1220" w:type="dxa"/>
            <w:vMerge w:val="continue"/>
          </w:tcPr>
          <w:p>
            <w:pPr>
              <w:spacing w:line="360" w:lineRule="auto"/>
              <w:jc w:val="both"/>
              <w:rPr>
                <w:rFonts w:cs="Times New Roman"/>
                <w:szCs w:val="24"/>
              </w:rPr>
            </w:pPr>
          </w:p>
        </w:tc>
        <w:tc>
          <w:tcPr>
            <w:tcW w:w="928" w:type="dxa"/>
            <w:vMerge w:val="continue"/>
          </w:tcPr>
          <w:p>
            <w:pPr>
              <w:spacing w:line="360" w:lineRule="auto"/>
              <w:jc w:val="both"/>
              <w:rPr>
                <w:rFonts w:cs="Times New Roman"/>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7880" w:type="dxa"/>
            <w:gridSpan w:val="7"/>
          </w:tcPr>
          <w:p>
            <w:pPr>
              <w:spacing w:line="360" w:lineRule="auto"/>
              <w:jc w:val="both"/>
              <w:rPr>
                <w:rFonts w:cs="Times New Roman"/>
                <w:b/>
                <w:bCs/>
                <w:szCs w:val="24"/>
              </w:rPr>
            </w:pPr>
            <w:r>
              <w:rPr>
                <w:rFonts w:cs="Times New Roman"/>
                <w:b/>
                <w:bCs/>
                <w:szCs w:val="24"/>
              </w:rPr>
              <w:t>Independent Variables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restart"/>
          </w:tcPr>
          <w:p>
            <w:pPr>
              <w:spacing w:line="360" w:lineRule="auto"/>
              <w:jc w:val="both"/>
              <w:rPr>
                <w:rFonts w:cs="Times New Roman"/>
                <w:b w:val="0"/>
                <w:bCs w:val="0"/>
                <w:szCs w:val="24"/>
              </w:rPr>
            </w:pPr>
            <w:r>
              <w:rPr>
                <w:rFonts w:cs="Times New Roman"/>
                <w:b/>
                <w:bCs/>
                <w:szCs w:val="24"/>
              </w:rPr>
              <w:t>Micro credit</w:t>
            </w:r>
          </w:p>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MC-1</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4.22</w:t>
            </w:r>
          </w:p>
        </w:tc>
        <w:tc>
          <w:tcPr>
            <w:tcW w:w="1003" w:type="dxa"/>
          </w:tcPr>
          <w:p>
            <w:pPr>
              <w:spacing w:line="360" w:lineRule="auto"/>
              <w:jc w:val="both"/>
              <w:rPr>
                <w:rFonts w:cs="Times New Roman"/>
                <w:szCs w:val="24"/>
              </w:rPr>
            </w:pPr>
            <w:r>
              <w:rPr>
                <w:rFonts w:cs="Times New Roman"/>
                <w:szCs w:val="24"/>
              </w:rPr>
              <w:t>4</w:t>
            </w:r>
          </w:p>
        </w:tc>
        <w:tc>
          <w:tcPr>
            <w:tcW w:w="1220" w:type="dxa"/>
          </w:tcPr>
          <w:p>
            <w:pPr>
              <w:spacing w:line="360" w:lineRule="auto"/>
              <w:jc w:val="both"/>
              <w:rPr>
                <w:rFonts w:cs="Times New Roman"/>
                <w:szCs w:val="24"/>
              </w:rPr>
            </w:pPr>
            <w:r>
              <w:rPr>
                <w:rFonts w:cs="Times New Roman"/>
                <w:szCs w:val="24"/>
              </w:rPr>
              <w:t>.876</w:t>
            </w:r>
          </w:p>
        </w:tc>
        <w:tc>
          <w:tcPr>
            <w:tcW w:w="928" w:type="dxa"/>
          </w:tcPr>
          <w:p>
            <w:pPr>
              <w:spacing w:line="360" w:lineRule="auto"/>
              <w:jc w:val="both"/>
              <w:rPr>
                <w:rFonts w:cs="Times New Roman"/>
                <w:szCs w:val="24"/>
              </w:rPr>
            </w:pPr>
            <w:r>
              <w:rPr>
                <w:rFonts w:cs="Times New Roman"/>
                <w:szCs w:val="24"/>
              </w:rPr>
              <w:t>.767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MC-2</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4.26</w:t>
            </w:r>
          </w:p>
        </w:tc>
        <w:tc>
          <w:tcPr>
            <w:tcW w:w="1003" w:type="dxa"/>
          </w:tcPr>
          <w:p>
            <w:pPr>
              <w:spacing w:line="360" w:lineRule="auto"/>
              <w:jc w:val="both"/>
              <w:rPr>
                <w:rFonts w:cs="Times New Roman"/>
                <w:szCs w:val="24"/>
              </w:rPr>
            </w:pPr>
            <w:r>
              <w:rPr>
                <w:rFonts w:cs="Times New Roman"/>
                <w:szCs w:val="24"/>
              </w:rPr>
              <w:t>4</w:t>
            </w:r>
          </w:p>
        </w:tc>
        <w:tc>
          <w:tcPr>
            <w:tcW w:w="1220" w:type="dxa"/>
          </w:tcPr>
          <w:p>
            <w:pPr>
              <w:spacing w:line="360" w:lineRule="auto"/>
              <w:jc w:val="both"/>
              <w:rPr>
                <w:rFonts w:cs="Times New Roman"/>
                <w:szCs w:val="24"/>
              </w:rPr>
            </w:pPr>
            <w:r>
              <w:rPr>
                <w:rFonts w:cs="Times New Roman"/>
                <w:szCs w:val="24"/>
              </w:rPr>
              <w:t>.884</w:t>
            </w:r>
          </w:p>
        </w:tc>
        <w:tc>
          <w:tcPr>
            <w:tcW w:w="928" w:type="dxa"/>
          </w:tcPr>
          <w:p>
            <w:pPr>
              <w:spacing w:line="360" w:lineRule="auto"/>
              <w:jc w:val="both"/>
              <w:rPr>
                <w:rFonts w:cs="Times New Roman"/>
                <w:szCs w:val="24"/>
              </w:rPr>
            </w:pPr>
            <w:r>
              <w:rPr>
                <w:rFonts w:cs="Times New Roman"/>
                <w:szCs w:val="24"/>
              </w:rPr>
              <w:t>.781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MC-3</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3.98</w:t>
            </w:r>
          </w:p>
        </w:tc>
        <w:tc>
          <w:tcPr>
            <w:tcW w:w="1003" w:type="dxa"/>
          </w:tcPr>
          <w:p>
            <w:pPr>
              <w:spacing w:line="360" w:lineRule="auto"/>
              <w:jc w:val="both"/>
              <w:rPr>
                <w:rFonts w:cs="Times New Roman"/>
                <w:szCs w:val="24"/>
              </w:rPr>
            </w:pPr>
            <w:r>
              <w:rPr>
                <w:rFonts w:cs="Times New Roman"/>
                <w:szCs w:val="24"/>
              </w:rPr>
              <w:t>4</w:t>
            </w:r>
          </w:p>
        </w:tc>
        <w:tc>
          <w:tcPr>
            <w:tcW w:w="1220" w:type="dxa"/>
          </w:tcPr>
          <w:p>
            <w:pPr>
              <w:spacing w:line="360" w:lineRule="auto"/>
              <w:jc w:val="both"/>
              <w:rPr>
                <w:rFonts w:cs="Times New Roman"/>
                <w:szCs w:val="24"/>
              </w:rPr>
            </w:pPr>
            <w:r>
              <w:rPr>
                <w:rFonts w:cs="Times New Roman"/>
                <w:szCs w:val="24"/>
              </w:rPr>
              <w:t>.965</w:t>
            </w:r>
          </w:p>
        </w:tc>
        <w:tc>
          <w:tcPr>
            <w:tcW w:w="928" w:type="dxa"/>
          </w:tcPr>
          <w:p>
            <w:pPr>
              <w:spacing w:line="360" w:lineRule="auto"/>
              <w:jc w:val="both"/>
              <w:rPr>
                <w:rFonts w:cs="Times New Roman"/>
                <w:szCs w:val="24"/>
              </w:rPr>
            </w:pPr>
            <w:r>
              <w:rPr>
                <w:rFonts w:cs="Times New Roman"/>
                <w:szCs w:val="24"/>
              </w:rPr>
              <w:t>.931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MC-4</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3.65</w:t>
            </w:r>
          </w:p>
        </w:tc>
        <w:tc>
          <w:tcPr>
            <w:tcW w:w="1003" w:type="dxa"/>
          </w:tcPr>
          <w:p>
            <w:pPr>
              <w:spacing w:line="360" w:lineRule="auto"/>
              <w:jc w:val="both"/>
              <w:rPr>
                <w:rFonts w:cs="Times New Roman"/>
                <w:szCs w:val="24"/>
              </w:rPr>
            </w:pPr>
            <w:r>
              <w:rPr>
                <w:rFonts w:cs="Times New Roman"/>
                <w:szCs w:val="24"/>
              </w:rPr>
              <w:t>4</w:t>
            </w:r>
          </w:p>
        </w:tc>
        <w:tc>
          <w:tcPr>
            <w:tcW w:w="1220" w:type="dxa"/>
          </w:tcPr>
          <w:p>
            <w:pPr>
              <w:spacing w:line="360" w:lineRule="auto"/>
              <w:jc w:val="both"/>
              <w:rPr>
                <w:rFonts w:cs="Times New Roman"/>
                <w:szCs w:val="24"/>
              </w:rPr>
            </w:pPr>
            <w:r>
              <w:rPr>
                <w:rFonts w:cs="Times New Roman"/>
                <w:szCs w:val="24"/>
              </w:rPr>
              <w:t>1.059</w:t>
            </w:r>
          </w:p>
        </w:tc>
        <w:tc>
          <w:tcPr>
            <w:tcW w:w="928" w:type="dxa"/>
          </w:tcPr>
          <w:p>
            <w:pPr>
              <w:spacing w:line="360" w:lineRule="auto"/>
              <w:jc w:val="both"/>
              <w:rPr>
                <w:rFonts w:cs="Times New Roman"/>
                <w:szCs w:val="24"/>
              </w:rPr>
            </w:pPr>
            <w:r>
              <w:rPr>
                <w:rFonts w:cs="Times New Roman"/>
                <w:szCs w:val="24"/>
              </w:rPr>
              <w:t>1.121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MC-5</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4.05</w:t>
            </w:r>
          </w:p>
        </w:tc>
        <w:tc>
          <w:tcPr>
            <w:tcW w:w="1003" w:type="dxa"/>
          </w:tcPr>
          <w:p>
            <w:pPr>
              <w:spacing w:line="360" w:lineRule="auto"/>
              <w:jc w:val="both"/>
              <w:rPr>
                <w:rFonts w:cs="Times New Roman"/>
                <w:szCs w:val="24"/>
              </w:rPr>
            </w:pPr>
            <w:r>
              <w:rPr>
                <w:rFonts w:cs="Times New Roman"/>
                <w:szCs w:val="24"/>
              </w:rPr>
              <w:t>4</w:t>
            </w:r>
          </w:p>
        </w:tc>
        <w:tc>
          <w:tcPr>
            <w:tcW w:w="1220" w:type="dxa"/>
          </w:tcPr>
          <w:p>
            <w:pPr>
              <w:spacing w:line="360" w:lineRule="auto"/>
              <w:jc w:val="both"/>
              <w:rPr>
                <w:rFonts w:cs="Times New Roman"/>
                <w:szCs w:val="24"/>
              </w:rPr>
            </w:pPr>
            <w:r>
              <w:rPr>
                <w:rFonts w:cs="Times New Roman"/>
                <w:szCs w:val="24"/>
              </w:rPr>
              <w:t>.681</w:t>
            </w:r>
          </w:p>
        </w:tc>
        <w:tc>
          <w:tcPr>
            <w:tcW w:w="928" w:type="dxa"/>
          </w:tcPr>
          <w:p>
            <w:pPr>
              <w:spacing w:line="360" w:lineRule="auto"/>
              <w:jc w:val="both"/>
              <w:rPr>
                <w:rFonts w:cs="Times New Roman"/>
                <w:szCs w:val="24"/>
              </w:rPr>
            </w:pPr>
            <w:r>
              <w:rPr>
                <w:rFonts w:cs="Times New Roman"/>
                <w:szCs w:val="24"/>
              </w:rPr>
              <w:t>.464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restart"/>
          </w:tcPr>
          <w:p>
            <w:pPr>
              <w:spacing w:line="360" w:lineRule="auto"/>
              <w:jc w:val="both"/>
              <w:rPr>
                <w:rFonts w:cs="Times New Roman"/>
                <w:b w:val="0"/>
                <w:bCs w:val="0"/>
                <w:szCs w:val="24"/>
              </w:rPr>
            </w:pPr>
            <w:r>
              <w:rPr>
                <w:rFonts w:cs="Times New Roman"/>
                <w:b/>
                <w:bCs/>
                <w:szCs w:val="24"/>
              </w:rPr>
              <w:t>Micro savings</w:t>
            </w:r>
          </w:p>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MS-1</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4.38</w:t>
            </w:r>
          </w:p>
        </w:tc>
        <w:tc>
          <w:tcPr>
            <w:tcW w:w="1003" w:type="dxa"/>
          </w:tcPr>
          <w:p>
            <w:pPr>
              <w:spacing w:line="360" w:lineRule="auto"/>
              <w:jc w:val="both"/>
              <w:rPr>
                <w:rFonts w:cs="Times New Roman"/>
                <w:szCs w:val="24"/>
              </w:rPr>
            </w:pPr>
            <w:r>
              <w:rPr>
                <w:rFonts w:cs="Times New Roman"/>
                <w:szCs w:val="24"/>
              </w:rPr>
              <w:t>5</w:t>
            </w:r>
          </w:p>
        </w:tc>
        <w:tc>
          <w:tcPr>
            <w:tcW w:w="1220" w:type="dxa"/>
          </w:tcPr>
          <w:p>
            <w:pPr>
              <w:spacing w:line="360" w:lineRule="auto"/>
              <w:jc w:val="both"/>
              <w:rPr>
                <w:rFonts w:cs="Times New Roman"/>
                <w:szCs w:val="24"/>
              </w:rPr>
            </w:pPr>
            <w:r>
              <w:rPr>
                <w:rFonts w:cs="Times New Roman"/>
                <w:szCs w:val="24"/>
              </w:rPr>
              <w:t>.789</w:t>
            </w:r>
          </w:p>
        </w:tc>
        <w:tc>
          <w:tcPr>
            <w:tcW w:w="928" w:type="dxa"/>
          </w:tcPr>
          <w:p>
            <w:pPr>
              <w:spacing w:line="360" w:lineRule="auto"/>
              <w:jc w:val="both"/>
              <w:rPr>
                <w:rFonts w:cs="Times New Roman"/>
                <w:szCs w:val="24"/>
              </w:rPr>
            </w:pPr>
            <w:r>
              <w:rPr>
                <w:rFonts w:cs="Times New Roman"/>
                <w:szCs w:val="24"/>
              </w:rPr>
              <w:t>.622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MS-2</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4.42</w:t>
            </w:r>
          </w:p>
        </w:tc>
        <w:tc>
          <w:tcPr>
            <w:tcW w:w="1003" w:type="dxa"/>
          </w:tcPr>
          <w:p>
            <w:pPr>
              <w:spacing w:line="360" w:lineRule="auto"/>
              <w:jc w:val="both"/>
              <w:rPr>
                <w:rFonts w:cs="Times New Roman"/>
                <w:szCs w:val="24"/>
              </w:rPr>
            </w:pPr>
            <w:r>
              <w:rPr>
                <w:rFonts w:cs="Times New Roman"/>
                <w:szCs w:val="24"/>
              </w:rPr>
              <w:t>5</w:t>
            </w:r>
          </w:p>
        </w:tc>
        <w:tc>
          <w:tcPr>
            <w:tcW w:w="1220" w:type="dxa"/>
          </w:tcPr>
          <w:p>
            <w:pPr>
              <w:spacing w:line="360" w:lineRule="auto"/>
              <w:jc w:val="both"/>
              <w:rPr>
                <w:rFonts w:cs="Times New Roman"/>
                <w:szCs w:val="24"/>
              </w:rPr>
            </w:pPr>
            <w:r>
              <w:rPr>
                <w:rFonts w:cs="Times New Roman"/>
                <w:szCs w:val="24"/>
              </w:rPr>
              <w:t>.736</w:t>
            </w:r>
          </w:p>
        </w:tc>
        <w:tc>
          <w:tcPr>
            <w:tcW w:w="928" w:type="dxa"/>
          </w:tcPr>
          <w:p>
            <w:pPr>
              <w:spacing w:line="360" w:lineRule="auto"/>
              <w:jc w:val="both"/>
              <w:rPr>
                <w:rFonts w:cs="Times New Roman"/>
                <w:szCs w:val="24"/>
              </w:rPr>
            </w:pPr>
            <w:r>
              <w:rPr>
                <w:rFonts w:cs="Times New Roman"/>
                <w:szCs w:val="24"/>
              </w:rPr>
              <w:t>.542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MS-3</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4.35</w:t>
            </w:r>
          </w:p>
        </w:tc>
        <w:tc>
          <w:tcPr>
            <w:tcW w:w="1003" w:type="dxa"/>
          </w:tcPr>
          <w:p>
            <w:pPr>
              <w:spacing w:line="360" w:lineRule="auto"/>
              <w:jc w:val="both"/>
              <w:rPr>
                <w:rFonts w:cs="Times New Roman"/>
                <w:szCs w:val="24"/>
              </w:rPr>
            </w:pPr>
            <w:r>
              <w:rPr>
                <w:rFonts w:cs="Times New Roman"/>
                <w:szCs w:val="24"/>
              </w:rPr>
              <w:t>5</w:t>
            </w:r>
          </w:p>
        </w:tc>
        <w:tc>
          <w:tcPr>
            <w:tcW w:w="1220" w:type="dxa"/>
          </w:tcPr>
          <w:p>
            <w:pPr>
              <w:spacing w:line="360" w:lineRule="auto"/>
              <w:jc w:val="both"/>
              <w:rPr>
                <w:rFonts w:cs="Times New Roman"/>
                <w:szCs w:val="24"/>
              </w:rPr>
            </w:pPr>
            <w:r>
              <w:rPr>
                <w:rFonts w:cs="Times New Roman"/>
                <w:szCs w:val="24"/>
              </w:rPr>
              <w:t>.788</w:t>
            </w:r>
          </w:p>
        </w:tc>
        <w:tc>
          <w:tcPr>
            <w:tcW w:w="928" w:type="dxa"/>
          </w:tcPr>
          <w:p>
            <w:pPr>
              <w:spacing w:line="360" w:lineRule="auto"/>
              <w:jc w:val="both"/>
              <w:rPr>
                <w:rFonts w:cs="Times New Roman"/>
                <w:szCs w:val="24"/>
              </w:rPr>
            </w:pPr>
            <w:r>
              <w:rPr>
                <w:rFonts w:cs="Times New Roman"/>
                <w:szCs w:val="24"/>
              </w:rPr>
              <w:t>.621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MS-4</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4.35</w:t>
            </w:r>
          </w:p>
        </w:tc>
        <w:tc>
          <w:tcPr>
            <w:tcW w:w="1003" w:type="dxa"/>
          </w:tcPr>
          <w:p>
            <w:pPr>
              <w:spacing w:line="360" w:lineRule="auto"/>
              <w:jc w:val="both"/>
              <w:rPr>
                <w:rFonts w:cs="Times New Roman"/>
                <w:szCs w:val="24"/>
              </w:rPr>
            </w:pPr>
            <w:r>
              <w:rPr>
                <w:rFonts w:cs="Times New Roman"/>
                <w:szCs w:val="24"/>
              </w:rPr>
              <w:t>5</w:t>
            </w:r>
          </w:p>
        </w:tc>
        <w:tc>
          <w:tcPr>
            <w:tcW w:w="1220" w:type="dxa"/>
          </w:tcPr>
          <w:p>
            <w:pPr>
              <w:spacing w:line="360" w:lineRule="auto"/>
              <w:jc w:val="both"/>
              <w:rPr>
                <w:rFonts w:cs="Times New Roman"/>
                <w:szCs w:val="24"/>
              </w:rPr>
            </w:pPr>
            <w:r>
              <w:rPr>
                <w:rFonts w:cs="Times New Roman"/>
                <w:szCs w:val="24"/>
              </w:rPr>
              <w:t>.798</w:t>
            </w:r>
          </w:p>
        </w:tc>
        <w:tc>
          <w:tcPr>
            <w:tcW w:w="928" w:type="dxa"/>
          </w:tcPr>
          <w:p>
            <w:pPr>
              <w:spacing w:line="360" w:lineRule="auto"/>
              <w:jc w:val="both"/>
              <w:rPr>
                <w:rFonts w:cs="Times New Roman"/>
                <w:szCs w:val="24"/>
              </w:rPr>
            </w:pPr>
            <w:r>
              <w:rPr>
                <w:rFonts w:cs="Times New Roman"/>
                <w:szCs w:val="24"/>
              </w:rPr>
              <w:t>.637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restart"/>
          </w:tcPr>
          <w:p>
            <w:pPr>
              <w:spacing w:line="360" w:lineRule="auto"/>
              <w:jc w:val="both"/>
              <w:rPr>
                <w:rFonts w:cs="Times New Roman"/>
                <w:b w:val="0"/>
                <w:bCs w:val="0"/>
                <w:szCs w:val="24"/>
              </w:rPr>
            </w:pPr>
            <w:r>
              <w:rPr>
                <w:rFonts w:cs="Times New Roman"/>
                <w:b/>
                <w:bCs/>
                <w:szCs w:val="24"/>
              </w:rPr>
              <w:t>Micro insurance</w:t>
            </w:r>
          </w:p>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MI-1</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4.38</w:t>
            </w:r>
          </w:p>
        </w:tc>
        <w:tc>
          <w:tcPr>
            <w:tcW w:w="1003" w:type="dxa"/>
          </w:tcPr>
          <w:p>
            <w:pPr>
              <w:spacing w:line="360" w:lineRule="auto"/>
              <w:jc w:val="both"/>
              <w:rPr>
                <w:rFonts w:cs="Times New Roman"/>
                <w:szCs w:val="24"/>
              </w:rPr>
            </w:pPr>
            <w:r>
              <w:rPr>
                <w:rFonts w:cs="Times New Roman"/>
                <w:szCs w:val="24"/>
              </w:rPr>
              <w:t>4</w:t>
            </w:r>
          </w:p>
        </w:tc>
        <w:tc>
          <w:tcPr>
            <w:tcW w:w="1220" w:type="dxa"/>
          </w:tcPr>
          <w:p>
            <w:pPr>
              <w:spacing w:line="360" w:lineRule="auto"/>
              <w:jc w:val="both"/>
              <w:rPr>
                <w:rFonts w:cs="Times New Roman"/>
                <w:szCs w:val="24"/>
              </w:rPr>
            </w:pPr>
            <w:r>
              <w:rPr>
                <w:rFonts w:cs="Times New Roman"/>
                <w:szCs w:val="24"/>
              </w:rPr>
              <w:t>.789</w:t>
            </w:r>
          </w:p>
        </w:tc>
        <w:tc>
          <w:tcPr>
            <w:tcW w:w="928" w:type="dxa"/>
          </w:tcPr>
          <w:p>
            <w:pPr>
              <w:spacing w:line="360" w:lineRule="auto"/>
              <w:jc w:val="both"/>
              <w:rPr>
                <w:rFonts w:cs="Times New Roman"/>
                <w:szCs w:val="24"/>
              </w:rPr>
            </w:pPr>
            <w:r>
              <w:rPr>
                <w:rFonts w:cs="Times New Roman"/>
                <w:szCs w:val="24"/>
              </w:rPr>
              <w:t>.622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MI-2</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4.32</w:t>
            </w:r>
          </w:p>
        </w:tc>
        <w:tc>
          <w:tcPr>
            <w:tcW w:w="1003" w:type="dxa"/>
          </w:tcPr>
          <w:p>
            <w:pPr>
              <w:spacing w:line="360" w:lineRule="auto"/>
              <w:jc w:val="both"/>
              <w:rPr>
                <w:rFonts w:cs="Times New Roman"/>
                <w:szCs w:val="24"/>
              </w:rPr>
            </w:pPr>
            <w:r>
              <w:rPr>
                <w:rFonts w:cs="Times New Roman"/>
                <w:szCs w:val="24"/>
              </w:rPr>
              <w:t>4</w:t>
            </w:r>
          </w:p>
        </w:tc>
        <w:tc>
          <w:tcPr>
            <w:tcW w:w="1220" w:type="dxa"/>
          </w:tcPr>
          <w:p>
            <w:pPr>
              <w:spacing w:line="360" w:lineRule="auto"/>
              <w:jc w:val="both"/>
              <w:rPr>
                <w:rFonts w:cs="Times New Roman"/>
                <w:szCs w:val="24"/>
              </w:rPr>
            </w:pPr>
            <w:r>
              <w:rPr>
                <w:rFonts w:cs="Times New Roman"/>
                <w:szCs w:val="24"/>
              </w:rPr>
              <w:t>.723</w:t>
            </w:r>
          </w:p>
        </w:tc>
        <w:tc>
          <w:tcPr>
            <w:tcW w:w="928" w:type="dxa"/>
          </w:tcPr>
          <w:p>
            <w:pPr>
              <w:spacing w:line="360" w:lineRule="auto"/>
              <w:jc w:val="both"/>
              <w:rPr>
                <w:rFonts w:cs="Times New Roman"/>
                <w:szCs w:val="24"/>
              </w:rPr>
            </w:pPr>
            <w:r>
              <w:rPr>
                <w:rFonts w:cs="Times New Roman"/>
                <w:szCs w:val="24"/>
              </w:rPr>
              <w:t>.522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MI-3</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4.42</w:t>
            </w:r>
          </w:p>
        </w:tc>
        <w:tc>
          <w:tcPr>
            <w:tcW w:w="1003" w:type="dxa"/>
          </w:tcPr>
          <w:p>
            <w:pPr>
              <w:spacing w:line="360" w:lineRule="auto"/>
              <w:jc w:val="both"/>
              <w:rPr>
                <w:rFonts w:cs="Times New Roman"/>
                <w:szCs w:val="24"/>
              </w:rPr>
            </w:pPr>
            <w:r>
              <w:rPr>
                <w:rFonts w:cs="Times New Roman"/>
                <w:szCs w:val="24"/>
              </w:rPr>
              <w:t>5</w:t>
            </w:r>
          </w:p>
        </w:tc>
        <w:tc>
          <w:tcPr>
            <w:tcW w:w="1220" w:type="dxa"/>
          </w:tcPr>
          <w:p>
            <w:pPr>
              <w:spacing w:line="360" w:lineRule="auto"/>
              <w:jc w:val="both"/>
              <w:rPr>
                <w:rFonts w:cs="Times New Roman"/>
                <w:szCs w:val="24"/>
              </w:rPr>
            </w:pPr>
            <w:r>
              <w:rPr>
                <w:rFonts w:cs="Times New Roman"/>
                <w:szCs w:val="24"/>
              </w:rPr>
              <w:t>.774</w:t>
            </w:r>
          </w:p>
        </w:tc>
        <w:tc>
          <w:tcPr>
            <w:tcW w:w="928" w:type="dxa"/>
          </w:tcPr>
          <w:p>
            <w:pPr>
              <w:spacing w:line="360" w:lineRule="auto"/>
              <w:jc w:val="both"/>
              <w:rPr>
                <w:rFonts w:cs="Times New Roman"/>
                <w:szCs w:val="24"/>
              </w:rPr>
            </w:pPr>
            <w:r>
              <w:rPr>
                <w:rFonts w:cs="Times New Roman"/>
                <w:szCs w:val="24"/>
              </w:rPr>
              <w:t>.599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MI-4</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4.30</w:t>
            </w:r>
          </w:p>
        </w:tc>
        <w:tc>
          <w:tcPr>
            <w:tcW w:w="1003" w:type="dxa"/>
          </w:tcPr>
          <w:p>
            <w:pPr>
              <w:spacing w:line="360" w:lineRule="auto"/>
              <w:jc w:val="both"/>
              <w:rPr>
                <w:rFonts w:cs="Times New Roman"/>
                <w:szCs w:val="24"/>
              </w:rPr>
            </w:pPr>
            <w:r>
              <w:rPr>
                <w:rFonts w:cs="Times New Roman"/>
                <w:szCs w:val="24"/>
              </w:rPr>
              <w:t>5</w:t>
            </w:r>
          </w:p>
        </w:tc>
        <w:tc>
          <w:tcPr>
            <w:tcW w:w="1220" w:type="dxa"/>
          </w:tcPr>
          <w:p>
            <w:pPr>
              <w:spacing w:line="360" w:lineRule="auto"/>
              <w:jc w:val="both"/>
              <w:rPr>
                <w:rFonts w:cs="Times New Roman"/>
                <w:szCs w:val="24"/>
              </w:rPr>
            </w:pPr>
            <w:r>
              <w:rPr>
                <w:rFonts w:cs="Times New Roman"/>
                <w:szCs w:val="24"/>
              </w:rPr>
              <w:t>.884</w:t>
            </w:r>
          </w:p>
        </w:tc>
        <w:tc>
          <w:tcPr>
            <w:tcW w:w="928" w:type="dxa"/>
          </w:tcPr>
          <w:p>
            <w:pPr>
              <w:spacing w:line="360" w:lineRule="auto"/>
              <w:jc w:val="both"/>
              <w:rPr>
                <w:rFonts w:cs="Times New Roman"/>
                <w:szCs w:val="24"/>
              </w:rPr>
            </w:pPr>
            <w:r>
              <w:rPr>
                <w:rFonts w:cs="Times New Roman"/>
                <w:szCs w:val="24"/>
              </w:rPr>
              <w:t>.781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2003" w:type="dxa"/>
            <w:vMerge w:val="restart"/>
          </w:tcPr>
          <w:p>
            <w:pPr>
              <w:spacing w:line="360" w:lineRule="auto"/>
              <w:jc w:val="both"/>
              <w:rPr>
                <w:rFonts w:cs="Times New Roman"/>
                <w:b/>
                <w:bCs/>
                <w:szCs w:val="24"/>
              </w:rPr>
            </w:pPr>
            <w:r>
              <w:rPr>
                <w:rFonts w:cs="Times New Roman"/>
                <w:b/>
                <w:bCs/>
                <w:szCs w:val="24"/>
              </w:rPr>
              <w:t>Dependent Variable</w:t>
            </w:r>
          </w:p>
          <w:p>
            <w:pPr>
              <w:spacing w:line="360" w:lineRule="auto"/>
              <w:rPr>
                <w:rFonts w:cs="Times New Roman"/>
                <w:b/>
                <w:bCs/>
                <w:szCs w:val="24"/>
              </w:rPr>
            </w:pPr>
            <w:r>
              <w:rPr>
                <w:rFonts w:cs="Times New Roman"/>
                <w:b/>
                <w:bCs/>
                <w:szCs w:val="24"/>
              </w:rPr>
              <w:t>Growth of MSME</w:t>
            </w:r>
          </w:p>
        </w:tc>
        <w:tc>
          <w:tcPr>
            <w:tcW w:w="1327" w:type="dxa"/>
          </w:tcPr>
          <w:p>
            <w:pPr>
              <w:spacing w:line="360" w:lineRule="auto"/>
              <w:jc w:val="both"/>
              <w:rPr>
                <w:rFonts w:cs="Times New Roman"/>
                <w:szCs w:val="24"/>
              </w:rPr>
            </w:pPr>
          </w:p>
        </w:tc>
        <w:tc>
          <w:tcPr>
            <w:tcW w:w="596" w:type="dxa"/>
          </w:tcPr>
          <w:p>
            <w:pPr>
              <w:spacing w:line="360" w:lineRule="auto"/>
              <w:jc w:val="both"/>
              <w:rPr>
                <w:rFonts w:cs="Times New Roman"/>
                <w:szCs w:val="24"/>
              </w:rPr>
            </w:pPr>
          </w:p>
        </w:tc>
        <w:tc>
          <w:tcPr>
            <w:tcW w:w="803" w:type="dxa"/>
          </w:tcPr>
          <w:p>
            <w:pPr>
              <w:spacing w:line="360" w:lineRule="auto"/>
              <w:jc w:val="both"/>
              <w:rPr>
                <w:rFonts w:cs="Times New Roman"/>
                <w:szCs w:val="24"/>
              </w:rPr>
            </w:pPr>
          </w:p>
        </w:tc>
        <w:tc>
          <w:tcPr>
            <w:tcW w:w="1003" w:type="dxa"/>
          </w:tcPr>
          <w:p>
            <w:pPr>
              <w:spacing w:line="360" w:lineRule="auto"/>
              <w:jc w:val="both"/>
              <w:rPr>
                <w:rFonts w:cs="Times New Roman"/>
                <w:szCs w:val="24"/>
              </w:rPr>
            </w:pPr>
          </w:p>
        </w:tc>
        <w:tc>
          <w:tcPr>
            <w:tcW w:w="1220" w:type="dxa"/>
          </w:tcPr>
          <w:p>
            <w:pPr>
              <w:spacing w:line="360" w:lineRule="auto"/>
              <w:jc w:val="both"/>
              <w:rPr>
                <w:rFonts w:cs="Times New Roman"/>
                <w:szCs w:val="24"/>
              </w:rPr>
            </w:pPr>
          </w:p>
        </w:tc>
        <w:tc>
          <w:tcPr>
            <w:tcW w:w="928" w:type="dxa"/>
          </w:tcPr>
          <w:p>
            <w:pPr>
              <w:spacing w:line="360" w:lineRule="auto"/>
              <w:jc w:val="both"/>
              <w:rPr>
                <w:rFonts w:cs="Times New Roman"/>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9" w:hRule="atLeast"/>
        </w:trPr>
        <w:tc>
          <w:tcPr>
            <w:tcW w:w="2003" w:type="dxa"/>
            <w:vMerge w:val="continue"/>
          </w:tcPr>
          <w:p>
            <w:pPr>
              <w:spacing w:line="360" w:lineRule="auto"/>
              <w:jc w:val="both"/>
              <w:rPr>
                <w:rFonts w:cs="Times New Roman"/>
                <w:b/>
                <w:bCs/>
                <w:szCs w:val="24"/>
              </w:rPr>
            </w:pPr>
          </w:p>
        </w:tc>
        <w:tc>
          <w:tcPr>
            <w:tcW w:w="1327" w:type="dxa"/>
          </w:tcPr>
          <w:p>
            <w:pPr>
              <w:spacing w:line="360" w:lineRule="auto"/>
              <w:jc w:val="both"/>
              <w:rPr>
                <w:rFonts w:cs="Times New Roman"/>
                <w:szCs w:val="24"/>
              </w:rPr>
            </w:pPr>
            <w:r>
              <w:rPr>
                <w:rFonts w:cs="Times New Roman"/>
                <w:szCs w:val="24"/>
              </w:rPr>
              <w:t>GMSME-1</w:t>
            </w:r>
          </w:p>
        </w:tc>
        <w:tc>
          <w:tcPr>
            <w:tcW w:w="596" w:type="dxa"/>
          </w:tcPr>
          <w:p>
            <w:pPr>
              <w:spacing w:line="360" w:lineRule="auto"/>
              <w:jc w:val="both"/>
              <w:rPr>
                <w:rFonts w:cs="Times New Roman"/>
                <w:szCs w:val="24"/>
              </w:rPr>
            </w:pPr>
            <w:r>
              <w:rPr>
                <w:rFonts w:cs="Times New Roman"/>
                <w:szCs w:val="24"/>
              </w:rPr>
              <w:t>250</w:t>
            </w:r>
          </w:p>
        </w:tc>
        <w:tc>
          <w:tcPr>
            <w:tcW w:w="803" w:type="dxa"/>
          </w:tcPr>
          <w:p>
            <w:pPr>
              <w:spacing w:line="360" w:lineRule="auto"/>
              <w:jc w:val="both"/>
              <w:rPr>
                <w:rFonts w:cs="Times New Roman"/>
                <w:szCs w:val="24"/>
              </w:rPr>
            </w:pPr>
            <w:r>
              <w:rPr>
                <w:rFonts w:cs="Times New Roman"/>
                <w:szCs w:val="24"/>
              </w:rPr>
              <w:t>4.25</w:t>
            </w:r>
          </w:p>
        </w:tc>
        <w:tc>
          <w:tcPr>
            <w:tcW w:w="1003" w:type="dxa"/>
          </w:tcPr>
          <w:p>
            <w:pPr>
              <w:spacing w:line="360" w:lineRule="auto"/>
              <w:jc w:val="both"/>
              <w:rPr>
                <w:rFonts w:cs="Times New Roman"/>
                <w:szCs w:val="24"/>
              </w:rPr>
            </w:pPr>
            <w:r>
              <w:rPr>
                <w:rFonts w:cs="Times New Roman"/>
                <w:szCs w:val="24"/>
              </w:rPr>
              <w:t>4</w:t>
            </w:r>
          </w:p>
        </w:tc>
        <w:tc>
          <w:tcPr>
            <w:tcW w:w="1220" w:type="dxa"/>
          </w:tcPr>
          <w:p>
            <w:pPr>
              <w:spacing w:line="360" w:lineRule="auto"/>
              <w:jc w:val="both"/>
              <w:rPr>
                <w:rFonts w:cs="Times New Roman"/>
                <w:szCs w:val="24"/>
              </w:rPr>
            </w:pPr>
            <w:r>
              <w:rPr>
                <w:rFonts w:cs="Times New Roman"/>
                <w:szCs w:val="24"/>
              </w:rPr>
              <w:t>.885</w:t>
            </w:r>
          </w:p>
        </w:tc>
        <w:tc>
          <w:tcPr>
            <w:tcW w:w="928" w:type="dxa"/>
          </w:tcPr>
          <w:p>
            <w:pPr>
              <w:spacing w:line="360" w:lineRule="auto"/>
              <w:jc w:val="both"/>
              <w:rPr>
                <w:rFonts w:cs="Times New Roman"/>
                <w:szCs w:val="24"/>
              </w:rPr>
            </w:pPr>
            <w:r>
              <w:rPr>
                <w:rFonts w:cs="Times New Roman"/>
                <w:szCs w:val="24"/>
              </w:rPr>
              <w:t>784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2003" w:type="dxa"/>
            <w:vMerge w:val="continue"/>
          </w:tcPr>
          <w:p>
            <w:pPr>
              <w:spacing w:line="360" w:lineRule="auto"/>
              <w:jc w:val="both"/>
              <w:rPr>
                <w:rFonts w:cs="Times New Roman"/>
                <w:b/>
                <w:bCs/>
                <w:szCs w:val="24"/>
              </w:rPr>
            </w:pPr>
          </w:p>
        </w:tc>
        <w:tc>
          <w:tcPr>
            <w:tcW w:w="1327" w:type="dxa"/>
            <w:tcBorders>
              <w:bottom w:val="single" w:color="auto" w:sz="4" w:space="0"/>
            </w:tcBorders>
          </w:tcPr>
          <w:p>
            <w:pPr>
              <w:spacing w:line="360" w:lineRule="auto"/>
              <w:jc w:val="both"/>
              <w:rPr>
                <w:rFonts w:cs="Times New Roman"/>
                <w:szCs w:val="24"/>
              </w:rPr>
            </w:pPr>
            <w:r>
              <w:rPr>
                <w:rFonts w:cs="Times New Roman"/>
                <w:szCs w:val="24"/>
              </w:rPr>
              <w:t>GMSME-2</w:t>
            </w:r>
          </w:p>
        </w:tc>
        <w:tc>
          <w:tcPr>
            <w:tcW w:w="596" w:type="dxa"/>
            <w:tcBorders>
              <w:bottom w:val="single" w:color="auto" w:sz="4" w:space="0"/>
            </w:tcBorders>
          </w:tcPr>
          <w:p>
            <w:pPr>
              <w:spacing w:line="360" w:lineRule="auto"/>
              <w:jc w:val="both"/>
              <w:rPr>
                <w:rFonts w:cs="Times New Roman"/>
                <w:szCs w:val="24"/>
              </w:rPr>
            </w:pPr>
            <w:r>
              <w:rPr>
                <w:rFonts w:cs="Times New Roman"/>
                <w:szCs w:val="24"/>
              </w:rPr>
              <w:t>250</w:t>
            </w:r>
          </w:p>
        </w:tc>
        <w:tc>
          <w:tcPr>
            <w:tcW w:w="803" w:type="dxa"/>
            <w:tcBorders>
              <w:bottom w:val="single" w:color="auto" w:sz="4" w:space="0"/>
            </w:tcBorders>
          </w:tcPr>
          <w:p>
            <w:pPr>
              <w:spacing w:line="360" w:lineRule="auto"/>
              <w:jc w:val="both"/>
              <w:rPr>
                <w:rFonts w:cs="Times New Roman"/>
                <w:szCs w:val="24"/>
              </w:rPr>
            </w:pPr>
            <w:r>
              <w:rPr>
                <w:rFonts w:cs="Times New Roman"/>
                <w:szCs w:val="24"/>
              </w:rPr>
              <w:t>4.21</w:t>
            </w:r>
          </w:p>
        </w:tc>
        <w:tc>
          <w:tcPr>
            <w:tcW w:w="1003" w:type="dxa"/>
            <w:tcBorders>
              <w:bottom w:val="single" w:color="auto" w:sz="4" w:space="0"/>
            </w:tcBorders>
          </w:tcPr>
          <w:p>
            <w:pPr>
              <w:spacing w:line="360" w:lineRule="auto"/>
              <w:jc w:val="both"/>
              <w:rPr>
                <w:rFonts w:cs="Times New Roman"/>
                <w:szCs w:val="24"/>
              </w:rPr>
            </w:pPr>
            <w:r>
              <w:rPr>
                <w:rFonts w:cs="Times New Roman"/>
                <w:szCs w:val="24"/>
              </w:rPr>
              <w:t>4</w:t>
            </w:r>
          </w:p>
        </w:tc>
        <w:tc>
          <w:tcPr>
            <w:tcW w:w="1220" w:type="dxa"/>
            <w:tcBorders>
              <w:bottom w:val="single" w:color="auto" w:sz="4" w:space="0"/>
            </w:tcBorders>
          </w:tcPr>
          <w:p>
            <w:pPr>
              <w:spacing w:line="360" w:lineRule="auto"/>
              <w:jc w:val="both"/>
              <w:rPr>
                <w:rFonts w:cs="Times New Roman"/>
                <w:szCs w:val="24"/>
              </w:rPr>
            </w:pPr>
            <w:r>
              <w:rPr>
                <w:rFonts w:cs="Times New Roman"/>
                <w:szCs w:val="24"/>
              </w:rPr>
              <w:t>.952</w:t>
            </w:r>
          </w:p>
        </w:tc>
        <w:tc>
          <w:tcPr>
            <w:tcW w:w="928" w:type="dxa"/>
            <w:tcBorders>
              <w:bottom w:val="single" w:color="auto" w:sz="4" w:space="0"/>
            </w:tcBorders>
          </w:tcPr>
          <w:p>
            <w:pPr>
              <w:spacing w:line="360" w:lineRule="auto"/>
              <w:jc w:val="both"/>
              <w:rPr>
                <w:rFonts w:cs="Times New Roman"/>
                <w:szCs w:val="24"/>
              </w:rPr>
            </w:pPr>
            <w:r>
              <w:rPr>
                <w:rFonts w:cs="Times New Roman"/>
                <w:szCs w:val="24"/>
              </w:rPr>
              <w:t>.907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1" w:hRule="atLeast"/>
        </w:trPr>
        <w:tc>
          <w:tcPr>
            <w:tcW w:w="2003" w:type="dxa"/>
            <w:vMerge w:val="continue"/>
          </w:tcPr>
          <w:p>
            <w:pPr>
              <w:spacing w:line="360" w:lineRule="auto"/>
              <w:jc w:val="both"/>
              <w:rPr>
                <w:rFonts w:cs="Times New Roman"/>
                <w:b/>
                <w:bCs/>
                <w:szCs w:val="24"/>
              </w:rPr>
            </w:pPr>
          </w:p>
        </w:tc>
        <w:tc>
          <w:tcPr>
            <w:tcW w:w="1327"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GMSME-3</w:t>
            </w:r>
          </w:p>
        </w:tc>
        <w:tc>
          <w:tcPr>
            <w:tcW w:w="596"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250</w:t>
            </w:r>
          </w:p>
        </w:tc>
        <w:tc>
          <w:tcPr>
            <w:tcW w:w="803"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4.27</w:t>
            </w:r>
          </w:p>
        </w:tc>
        <w:tc>
          <w:tcPr>
            <w:tcW w:w="1003"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4</w:t>
            </w:r>
          </w:p>
        </w:tc>
        <w:tc>
          <w:tcPr>
            <w:tcW w:w="1220"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.900</w:t>
            </w:r>
          </w:p>
        </w:tc>
        <w:tc>
          <w:tcPr>
            <w:tcW w:w="928" w:type="dxa"/>
            <w:tcBorders>
              <w:top w:val="single" w:color="auto" w:sz="4" w:space="0"/>
              <w:bottom w:val="single" w:color="auto" w:sz="4" w:space="0"/>
            </w:tcBorders>
          </w:tcPr>
          <w:p>
            <w:pPr>
              <w:spacing w:line="360" w:lineRule="auto"/>
              <w:jc w:val="both"/>
              <w:rPr>
                <w:rFonts w:cs="Times New Roman"/>
                <w:szCs w:val="24"/>
              </w:rPr>
            </w:pPr>
            <w:r>
              <w:rPr>
                <w:rFonts w:cs="Times New Roman"/>
                <w:szCs w:val="24"/>
              </w:rPr>
              <w:t>.809</w:t>
            </w:r>
          </w:p>
        </w:tc>
      </w:tr>
    </w:tbl>
    <w:p>
      <w:pPr>
        <w:tabs>
          <w:tab w:val="left" w:pos="2505"/>
        </w:tabs>
        <w:spacing w:line="360" w:lineRule="auto"/>
        <w:jc w:val="both"/>
        <w:rPr>
          <w:rFonts w:cs="Times New Roman"/>
          <w:i/>
          <w:iCs/>
          <w:sz w:val="22"/>
          <w:szCs w:val="22"/>
        </w:rPr>
      </w:pPr>
      <w:r>
        <w:rPr>
          <w:rFonts w:cs="Times New Roman"/>
          <w:i/>
          <w:iCs/>
          <w:sz w:val="22"/>
          <w:szCs w:val="22"/>
        </w:rPr>
        <w:tab/>
      </w:r>
      <w:r>
        <w:rPr>
          <w:rFonts w:cs="Times New Roman"/>
          <w:i/>
          <w:iCs/>
          <w:sz w:val="22"/>
          <w:szCs w:val="22"/>
        </w:rPr>
        <w:tab/>
      </w:r>
      <w:r>
        <w:rPr>
          <w:rFonts w:cs="Times New Roman"/>
          <w:i/>
          <w:iCs/>
          <w:sz w:val="22"/>
          <w:szCs w:val="22"/>
        </w:rPr>
        <w:tab/>
      </w:r>
      <w:r>
        <w:rPr>
          <w:rFonts w:cs="Times New Roman"/>
          <w:i/>
          <w:iCs/>
          <w:sz w:val="22"/>
          <w:szCs w:val="22"/>
        </w:rPr>
        <w:tab/>
      </w:r>
      <w:r>
        <w:rPr>
          <w:rFonts w:cs="Times New Roman"/>
          <w:i/>
          <w:iCs/>
          <w:sz w:val="22"/>
          <w:szCs w:val="22"/>
        </w:rPr>
        <w:tab/>
      </w:r>
      <w:r>
        <w:rPr>
          <w:rFonts w:cs="Times New Roman"/>
          <w:i/>
          <w:iCs/>
          <w:sz w:val="22"/>
          <w:szCs w:val="22"/>
        </w:rPr>
        <w:t>Source: survey data</w:t>
      </w:r>
      <w:r>
        <w:rPr>
          <w:rFonts w:cs="Times New Roman"/>
          <w:i/>
          <w:iCs/>
          <w:sz w:val="22"/>
          <w:szCs w:val="22"/>
        </w:rPr>
        <w:tab/>
      </w:r>
    </w:p>
    <w:p>
      <w:pPr>
        <w:tabs>
          <w:tab w:val="left" w:pos="2505"/>
        </w:tabs>
        <w:spacing w:line="360" w:lineRule="auto"/>
        <w:jc w:val="both"/>
        <w:rPr>
          <w:rFonts w:cs="Times New Roman"/>
          <w:i/>
          <w:iCs/>
          <w:szCs w:val="24"/>
        </w:rPr>
      </w:pPr>
    </w:p>
    <w:p>
      <w:pPr>
        <w:spacing w:line="360" w:lineRule="auto"/>
        <w:jc w:val="both"/>
        <w:rPr>
          <w:rFonts w:cs="Times New Roman"/>
          <w:szCs w:val="24"/>
        </w:rPr>
      </w:pPr>
      <w:r>
        <w:rPr>
          <w:rFonts w:cs="Times New Roman"/>
          <w:szCs w:val="24"/>
        </w:rPr>
        <w:t>Table 11 demonstrates that there is little variation between mean values for different variables. Additionally, all numbers are fewer than four when the standard deviation values are taken into account. Therefore, based on their dispersion, it may be inferred that all of the variables used in this study have a significant central tendency.</w:t>
      </w:r>
    </w:p>
    <w:p>
      <w:pPr>
        <w:spacing w:line="360" w:lineRule="auto"/>
        <w:jc w:val="both"/>
        <w:rPr>
          <w:rFonts w:cs="Times New Roman"/>
          <w:szCs w:val="24"/>
        </w:rPr>
      </w:pPr>
    </w:p>
    <w:p>
      <w:pPr>
        <w:pStyle w:val="4"/>
        <w:numPr>
          <w:ilvl w:val="0"/>
          <w:numId w:val="0"/>
        </w:numPr>
        <w:spacing w:line="360" w:lineRule="auto"/>
        <w:rPr>
          <w:rFonts w:cs="Times New Roman"/>
          <w:b w:val="0"/>
          <w:bCs/>
          <w:i/>
          <w:iCs/>
        </w:rPr>
      </w:pPr>
      <w:bookmarkStart w:id="70" w:name="_Toc141558996"/>
      <w:bookmarkStart w:id="71" w:name="_Toc125922295"/>
      <w:r>
        <w:rPr>
          <w:rFonts w:cs="Times New Roman"/>
          <w:b w:val="0"/>
          <w:bCs/>
          <w:i/>
          <w:iCs/>
          <w:highlight w:val="yellow"/>
        </w:rPr>
        <w:t>Analysis of the variables' validity</w:t>
      </w:r>
      <w:bookmarkEnd w:id="70"/>
      <w:bookmarkEnd w:id="71"/>
    </w:p>
    <w:p>
      <w:pPr>
        <w:pStyle w:val="8"/>
        <w:spacing w:line="360" w:lineRule="auto"/>
      </w:pPr>
    </w:p>
    <w:p>
      <w:pPr>
        <w:spacing w:line="360" w:lineRule="auto"/>
        <w:jc w:val="both"/>
        <w:rPr>
          <w:rFonts w:cs="Times New Roman"/>
          <w:szCs w:val="24"/>
        </w:rPr>
      </w:pPr>
      <w:r>
        <w:rPr>
          <w:rFonts w:cs="Times New Roman"/>
          <w:szCs w:val="24"/>
        </w:rPr>
        <w:t>KMO is a test used to evaluate how well the components explain one another in terms of partial correlation between the variables. KMO values around 1.0 are excellent, whereas those below 0.5 are deemed unacceptable. The correlation matrix's identity as an identity matrix is tested using the Bartlett's test of sphericity. Your variables are unrelated if you have an identity correlation matrix, which makes factor analysis a poor choice.</w:t>
      </w:r>
    </w:p>
    <w:p>
      <w:pPr>
        <w:pStyle w:val="9"/>
        <w:keepNext/>
        <w:spacing w:line="360" w:lineRule="auto"/>
        <w:jc w:val="both"/>
        <w:rPr>
          <w:rFonts w:cs="Times New Roman"/>
          <w:b w:val="0"/>
          <w:i w:val="0"/>
          <w:szCs w:val="24"/>
        </w:rPr>
      </w:pPr>
      <w:bookmarkStart w:id="72" w:name="_Toc121062200"/>
      <w:r>
        <w:rPr>
          <w:rFonts w:cs="Times New Roman"/>
          <w:b w:val="0"/>
          <w:i w:val="0"/>
          <w:szCs w:val="24"/>
        </w:rPr>
        <w:t>Table 12 which appears below, displays the findings of the validity analysis performed using the SPSS Tool</w:t>
      </w:r>
      <w:bookmarkEnd w:id="72"/>
      <w:r>
        <w:rPr>
          <w:rFonts w:cs="Times New Roman"/>
          <w:b w:val="0"/>
          <w:i w:val="0"/>
          <w:szCs w:val="24"/>
        </w:rPr>
        <w:t>.</w:t>
      </w:r>
    </w:p>
    <w:p>
      <w:pPr>
        <w:spacing w:line="360" w:lineRule="auto"/>
        <w:rPr>
          <w:rFonts w:cs="Times New Roman"/>
          <w:szCs w:val="24"/>
        </w:rPr>
      </w:pPr>
    </w:p>
    <w:p>
      <w:pPr>
        <w:pStyle w:val="9"/>
        <w:keepNext/>
        <w:spacing w:line="360" w:lineRule="auto"/>
        <w:rPr>
          <w:rFonts w:cs="Times New Roman"/>
          <w:i w:val="0"/>
          <w:szCs w:val="24"/>
        </w:rPr>
      </w:pPr>
      <w:bookmarkStart w:id="73" w:name="_Toc122095176"/>
      <w:r>
        <w:rPr>
          <w:rFonts w:cs="Times New Roman"/>
          <w:i w:val="0"/>
          <w:szCs w:val="24"/>
        </w:rPr>
        <w:t>Table 12: KMO and Bartlett's Test</w:t>
      </w:r>
      <w:bookmarkEnd w:id="73"/>
    </w:p>
    <w:tbl>
      <w:tblPr>
        <w:tblStyle w:val="25"/>
        <w:tblW w:w="7544"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193"/>
        <w:gridCol w:w="3014"/>
        <w:gridCol w:w="1337"/>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trPr>
        <w:tc>
          <w:tcPr>
            <w:tcW w:w="6207" w:type="dxa"/>
            <w:gridSpan w:val="2"/>
            <w:shd w:val="clear" w:color="auto" w:fill="E7E6E6" w:themeFill="background2"/>
          </w:tcPr>
          <w:p>
            <w:pPr>
              <w:spacing w:line="360" w:lineRule="auto"/>
              <w:ind w:left="60" w:right="60"/>
              <w:jc w:val="both"/>
              <w:rPr>
                <w:rFonts w:cs="Times New Roman"/>
                <w:szCs w:val="24"/>
              </w:rPr>
            </w:pPr>
            <w:r>
              <w:rPr>
                <w:rFonts w:cs="Times New Roman"/>
                <w:szCs w:val="24"/>
              </w:rPr>
              <w:t>Kaiser-Meyer-Olkin Measure of Sampling Adequacy.</w:t>
            </w:r>
          </w:p>
        </w:tc>
        <w:tc>
          <w:tcPr>
            <w:tcW w:w="1337" w:type="dxa"/>
            <w:shd w:val="clear" w:color="auto" w:fill="E7E6E6" w:themeFill="background2"/>
          </w:tcPr>
          <w:p>
            <w:pPr>
              <w:spacing w:line="360" w:lineRule="auto"/>
              <w:ind w:left="60" w:right="60"/>
              <w:jc w:val="both"/>
              <w:rPr>
                <w:rFonts w:cs="Times New Roman"/>
                <w:b/>
                <w:bCs/>
                <w:szCs w:val="24"/>
              </w:rPr>
            </w:pPr>
            <w:r>
              <w:rPr>
                <w:rFonts w:cs="Times New Roman"/>
                <w:b/>
                <w:bCs/>
                <w:szCs w:val="24"/>
              </w:rPr>
              <w:t>.823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3193" w:type="dxa"/>
            <w:vMerge w:val="restart"/>
          </w:tcPr>
          <w:p>
            <w:pPr>
              <w:spacing w:line="360" w:lineRule="auto"/>
              <w:ind w:left="60" w:right="60"/>
              <w:jc w:val="both"/>
              <w:rPr>
                <w:rFonts w:cs="Times New Roman"/>
                <w:szCs w:val="24"/>
              </w:rPr>
            </w:pPr>
            <w:r>
              <w:rPr>
                <w:rFonts w:cs="Times New Roman"/>
                <w:szCs w:val="24"/>
              </w:rPr>
              <w:t>Bartlett's Test of Sphericity</w:t>
            </w:r>
          </w:p>
        </w:tc>
        <w:tc>
          <w:tcPr>
            <w:tcW w:w="3014" w:type="dxa"/>
          </w:tcPr>
          <w:p>
            <w:pPr>
              <w:spacing w:line="360" w:lineRule="auto"/>
              <w:ind w:left="60" w:right="60"/>
              <w:jc w:val="both"/>
              <w:rPr>
                <w:rFonts w:cs="Times New Roman"/>
                <w:szCs w:val="24"/>
              </w:rPr>
            </w:pPr>
            <w:r>
              <w:rPr>
                <w:rFonts w:cs="Times New Roman"/>
                <w:szCs w:val="24"/>
              </w:rPr>
              <w:t>Approx. Chi-Square</w:t>
            </w:r>
          </w:p>
        </w:tc>
        <w:tc>
          <w:tcPr>
            <w:tcW w:w="1337" w:type="dxa"/>
          </w:tcPr>
          <w:p>
            <w:pPr>
              <w:spacing w:line="360" w:lineRule="auto"/>
              <w:ind w:left="60" w:right="60"/>
              <w:jc w:val="both"/>
              <w:rPr>
                <w:rFonts w:cs="Times New Roman"/>
                <w:szCs w:val="24"/>
              </w:rPr>
            </w:pPr>
            <w:r>
              <w:rPr>
                <w:rFonts w:cs="Times New Roman"/>
                <w:szCs w:val="24"/>
              </w:rPr>
              <w:t>492.756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3" w:hRule="atLeast"/>
        </w:trPr>
        <w:tc>
          <w:tcPr>
            <w:tcW w:w="3193" w:type="dxa"/>
            <w:vMerge w:val="continue"/>
          </w:tcPr>
          <w:p>
            <w:pPr>
              <w:spacing w:line="360" w:lineRule="auto"/>
              <w:jc w:val="both"/>
              <w:rPr>
                <w:rFonts w:cs="Times New Roman"/>
                <w:szCs w:val="24"/>
              </w:rPr>
            </w:pPr>
          </w:p>
        </w:tc>
        <w:tc>
          <w:tcPr>
            <w:tcW w:w="3014" w:type="dxa"/>
            <w:tcBorders>
              <w:bottom w:val="single" w:color="auto" w:sz="4" w:space="0"/>
            </w:tcBorders>
          </w:tcPr>
          <w:p>
            <w:pPr>
              <w:spacing w:line="360" w:lineRule="auto"/>
              <w:ind w:left="60" w:right="60"/>
              <w:jc w:val="both"/>
              <w:rPr>
                <w:rFonts w:cs="Times New Roman"/>
                <w:szCs w:val="24"/>
              </w:rPr>
            </w:pPr>
            <w:r>
              <w:rPr>
                <w:rFonts w:cs="Times New Roman"/>
                <w:szCs w:val="24"/>
              </w:rPr>
              <w:t>Df</w:t>
            </w:r>
          </w:p>
        </w:tc>
        <w:tc>
          <w:tcPr>
            <w:tcW w:w="1337" w:type="dxa"/>
            <w:tcBorders>
              <w:bottom w:val="single" w:color="auto" w:sz="4" w:space="0"/>
            </w:tcBorders>
          </w:tcPr>
          <w:p>
            <w:pPr>
              <w:spacing w:line="360" w:lineRule="auto"/>
              <w:ind w:left="60" w:right="60"/>
              <w:jc w:val="both"/>
              <w:rPr>
                <w:rFonts w:cs="Times New Roman"/>
                <w:szCs w:val="24"/>
              </w:rPr>
            </w:pPr>
            <w:r>
              <w:rPr>
                <w:rFonts w:cs="Times New Roman"/>
                <w:szCs w:val="24"/>
              </w:rPr>
              <w:t>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3193" w:type="dxa"/>
            <w:vMerge w:val="continue"/>
          </w:tcPr>
          <w:p>
            <w:pPr>
              <w:spacing w:line="360" w:lineRule="auto"/>
              <w:jc w:val="both"/>
              <w:rPr>
                <w:rFonts w:cs="Times New Roman"/>
                <w:szCs w:val="24"/>
              </w:rPr>
            </w:pPr>
          </w:p>
        </w:tc>
        <w:tc>
          <w:tcPr>
            <w:tcW w:w="3014"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Sig.</w:t>
            </w:r>
          </w:p>
        </w:tc>
        <w:tc>
          <w:tcPr>
            <w:tcW w:w="1337" w:type="dxa"/>
            <w:tcBorders>
              <w:top w:val="single" w:color="auto" w:sz="4" w:space="0"/>
              <w:bottom w:val="single" w:color="auto" w:sz="4" w:space="0"/>
            </w:tcBorders>
          </w:tcPr>
          <w:p>
            <w:pPr>
              <w:spacing w:line="360" w:lineRule="auto"/>
              <w:ind w:left="60" w:right="60"/>
              <w:jc w:val="both"/>
              <w:rPr>
                <w:rFonts w:cs="Times New Roman"/>
                <w:b/>
                <w:bCs/>
                <w:szCs w:val="24"/>
              </w:rPr>
            </w:pPr>
            <w:r>
              <w:rPr>
                <w:rFonts w:cs="Times New Roman"/>
                <w:b/>
                <w:bCs/>
                <w:szCs w:val="24"/>
              </w:rPr>
              <w:t>.000</w:t>
            </w:r>
          </w:p>
        </w:tc>
      </w:tr>
    </w:tbl>
    <w:p>
      <w:pPr>
        <w:spacing w:line="360" w:lineRule="auto"/>
        <w:ind w:right="60"/>
        <w:jc w:val="both"/>
        <w:rPr>
          <w:rFonts w:cs="Times New Roman"/>
          <w:i/>
          <w:iCs/>
          <w:szCs w:val="24"/>
        </w:rPr>
      </w:pPr>
      <w:r>
        <w:rPr>
          <w:rFonts w:cs="Times New Roman"/>
          <w:i/>
          <w:iCs/>
          <w:szCs w:val="24"/>
        </w:rPr>
        <w:t>Extraction Method: Principal Component Analysis</w:t>
      </w:r>
    </w:p>
    <w:p>
      <w:pPr>
        <w:spacing w:line="360" w:lineRule="auto"/>
        <w:ind w:right="60"/>
        <w:jc w:val="both"/>
        <w:rPr>
          <w:rFonts w:cs="Times New Roman"/>
          <w:i/>
          <w:iCs/>
          <w:szCs w:val="24"/>
        </w:rPr>
      </w:pPr>
    </w:p>
    <w:p>
      <w:pPr>
        <w:spacing w:line="360" w:lineRule="auto"/>
        <w:ind w:right="60"/>
        <w:jc w:val="both"/>
        <w:rPr>
          <w:rFonts w:cs="Times New Roman"/>
          <w:i/>
          <w:iCs/>
          <w:szCs w:val="24"/>
        </w:rPr>
      </w:pPr>
    </w:p>
    <w:tbl>
      <w:tblPr>
        <w:tblStyle w:val="25"/>
        <w:tblpPr w:leftFromText="180" w:rightFromText="180" w:vertAnchor="text" w:tblpY="1"/>
        <w:tblW w:w="740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49"/>
        <w:gridCol w:w="2145"/>
        <w:gridCol w:w="23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2" w:hRule="atLeast"/>
        </w:trPr>
        <w:tc>
          <w:tcPr>
            <w:tcW w:w="7404" w:type="dxa"/>
            <w:gridSpan w:val="3"/>
            <w:tcBorders>
              <w:top w:val="single" w:color="auto" w:sz="4" w:space="0"/>
            </w:tcBorders>
            <w:shd w:val="clear" w:color="auto" w:fill="E7E6E6" w:themeFill="background2"/>
          </w:tcPr>
          <w:p>
            <w:pPr>
              <w:tabs>
                <w:tab w:val="left" w:pos="2063"/>
              </w:tabs>
              <w:spacing w:line="360" w:lineRule="auto"/>
              <w:ind w:left="60" w:right="60"/>
              <w:jc w:val="both"/>
              <w:rPr>
                <w:rFonts w:cs="Times New Roman"/>
                <w:szCs w:val="24"/>
              </w:rPr>
            </w:pPr>
            <w:r>
              <w:rPr>
                <w:rFonts w:cs="Times New Roman"/>
                <w:b/>
                <w:bCs/>
                <w:szCs w:val="24"/>
              </w:rPr>
              <w:t>Communalities</w:t>
            </w:r>
            <w:r>
              <w:rPr>
                <w:rFonts w:cs="Times New Roman"/>
                <w:b/>
                <w:bCs/>
                <w:szCs w:val="24"/>
              </w:rPr>
              <w:tab/>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2949" w:type="dxa"/>
          </w:tcPr>
          <w:p>
            <w:pPr>
              <w:spacing w:line="360" w:lineRule="auto"/>
              <w:jc w:val="both"/>
              <w:rPr>
                <w:rFonts w:cs="Times New Roman"/>
                <w:szCs w:val="24"/>
              </w:rPr>
            </w:pPr>
          </w:p>
        </w:tc>
        <w:tc>
          <w:tcPr>
            <w:tcW w:w="2145" w:type="dxa"/>
          </w:tcPr>
          <w:p>
            <w:pPr>
              <w:spacing w:line="360" w:lineRule="auto"/>
              <w:ind w:left="60" w:right="60"/>
              <w:jc w:val="both"/>
              <w:rPr>
                <w:rFonts w:cs="Times New Roman"/>
                <w:szCs w:val="24"/>
              </w:rPr>
            </w:pPr>
            <w:r>
              <w:rPr>
                <w:rFonts w:cs="Times New Roman"/>
                <w:szCs w:val="24"/>
              </w:rPr>
              <w:t>Initial</w:t>
            </w:r>
          </w:p>
        </w:tc>
        <w:tc>
          <w:tcPr>
            <w:tcW w:w="2310" w:type="dxa"/>
          </w:tcPr>
          <w:p>
            <w:pPr>
              <w:spacing w:line="360" w:lineRule="auto"/>
              <w:ind w:left="60" w:right="60"/>
              <w:jc w:val="both"/>
              <w:rPr>
                <w:rFonts w:cs="Times New Roman"/>
                <w:szCs w:val="24"/>
              </w:rPr>
            </w:pPr>
            <w:r>
              <w:rPr>
                <w:rFonts w:cs="Times New Roman"/>
                <w:szCs w:val="24"/>
              </w:rPr>
              <w:t>Extraction</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2949" w:type="dxa"/>
          </w:tcPr>
          <w:p>
            <w:pPr>
              <w:spacing w:line="360" w:lineRule="auto"/>
              <w:ind w:left="60" w:right="60"/>
              <w:jc w:val="both"/>
              <w:rPr>
                <w:rFonts w:cs="Times New Roman"/>
                <w:szCs w:val="24"/>
              </w:rPr>
            </w:pPr>
            <w:r>
              <w:rPr>
                <w:rFonts w:cs="Times New Roman"/>
                <w:szCs w:val="24"/>
              </w:rPr>
              <w:t>Mean GMSME</w:t>
            </w:r>
          </w:p>
        </w:tc>
        <w:tc>
          <w:tcPr>
            <w:tcW w:w="2145" w:type="dxa"/>
          </w:tcPr>
          <w:p>
            <w:pPr>
              <w:spacing w:line="360" w:lineRule="auto"/>
              <w:ind w:left="60" w:right="60"/>
              <w:jc w:val="both"/>
              <w:rPr>
                <w:rFonts w:cs="Times New Roman"/>
                <w:szCs w:val="24"/>
              </w:rPr>
            </w:pPr>
            <w:r>
              <w:rPr>
                <w:rFonts w:cs="Times New Roman"/>
                <w:szCs w:val="24"/>
              </w:rPr>
              <w:t>1.000</w:t>
            </w:r>
          </w:p>
        </w:tc>
        <w:tc>
          <w:tcPr>
            <w:tcW w:w="2310" w:type="dxa"/>
          </w:tcPr>
          <w:p>
            <w:pPr>
              <w:spacing w:line="360" w:lineRule="auto"/>
              <w:ind w:left="60" w:right="60"/>
              <w:jc w:val="both"/>
              <w:rPr>
                <w:rFonts w:cs="Times New Roman"/>
                <w:szCs w:val="24"/>
              </w:rPr>
            </w:pPr>
            <w:r>
              <w:rPr>
                <w:rFonts w:cs="Times New Roman"/>
                <w:szCs w:val="24"/>
              </w:rPr>
              <w:t>.689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2949" w:type="dxa"/>
          </w:tcPr>
          <w:p>
            <w:pPr>
              <w:spacing w:line="360" w:lineRule="auto"/>
              <w:ind w:left="60" w:right="60"/>
              <w:jc w:val="both"/>
              <w:rPr>
                <w:rFonts w:cs="Times New Roman"/>
                <w:szCs w:val="24"/>
              </w:rPr>
            </w:pPr>
            <w:r>
              <w:rPr>
                <w:rFonts w:cs="Times New Roman"/>
                <w:szCs w:val="24"/>
              </w:rPr>
              <w:t>Mean MC</w:t>
            </w:r>
          </w:p>
        </w:tc>
        <w:tc>
          <w:tcPr>
            <w:tcW w:w="2145" w:type="dxa"/>
          </w:tcPr>
          <w:p>
            <w:pPr>
              <w:spacing w:line="360" w:lineRule="auto"/>
              <w:ind w:left="60" w:right="60"/>
              <w:jc w:val="both"/>
              <w:rPr>
                <w:rFonts w:cs="Times New Roman"/>
                <w:szCs w:val="24"/>
              </w:rPr>
            </w:pPr>
            <w:r>
              <w:rPr>
                <w:rFonts w:cs="Times New Roman"/>
                <w:szCs w:val="24"/>
              </w:rPr>
              <w:t>1.000</w:t>
            </w:r>
          </w:p>
        </w:tc>
        <w:tc>
          <w:tcPr>
            <w:tcW w:w="2310" w:type="dxa"/>
          </w:tcPr>
          <w:p>
            <w:pPr>
              <w:spacing w:line="360" w:lineRule="auto"/>
              <w:ind w:left="60" w:right="60"/>
              <w:jc w:val="both"/>
              <w:rPr>
                <w:rFonts w:cs="Times New Roman"/>
                <w:szCs w:val="24"/>
              </w:rPr>
            </w:pPr>
            <w:r>
              <w:rPr>
                <w:rFonts w:cs="Times New Roman"/>
                <w:szCs w:val="24"/>
              </w:rPr>
              <w:t>.714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2949" w:type="dxa"/>
            <w:tcBorders>
              <w:bottom w:val="single" w:color="auto" w:sz="4" w:space="0"/>
            </w:tcBorders>
          </w:tcPr>
          <w:p>
            <w:pPr>
              <w:spacing w:line="360" w:lineRule="auto"/>
              <w:ind w:left="60" w:right="60"/>
              <w:jc w:val="both"/>
              <w:rPr>
                <w:rFonts w:cs="Times New Roman"/>
                <w:szCs w:val="24"/>
              </w:rPr>
            </w:pPr>
            <w:r>
              <w:rPr>
                <w:rFonts w:cs="Times New Roman"/>
                <w:szCs w:val="24"/>
              </w:rPr>
              <w:t>Mean MS</w:t>
            </w:r>
          </w:p>
        </w:tc>
        <w:tc>
          <w:tcPr>
            <w:tcW w:w="2145" w:type="dxa"/>
            <w:tcBorders>
              <w:bottom w:val="single" w:color="auto" w:sz="4" w:space="0"/>
            </w:tcBorders>
          </w:tcPr>
          <w:p>
            <w:pPr>
              <w:spacing w:line="360" w:lineRule="auto"/>
              <w:ind w:left="60" w:right="60"/>
              <w:jc w:val="both"/>
              <w:rPr>
                <w:rFonts w:cs="Times New Roman"/>
                <w:szCs w:val="24"/>
              </w:rPr>
            </w:pPr>
            <w:r>
              <w:rPr>
                <w:rFonts w:cs="Times New Roman"/>
                <w:szCs w:val="24"/>
              </w:rPr>
              <w:t>1.000</w:t>
            </w:r>
          </w:p>
        </w:tc>
        <w:tc>
          <w:tcPr>
            <w:tcW w:w="2310" w:type="dxa"/>
            <w:tcBorders>
              <w:bottom w:val="single" w:color="auto" w:sz="4" w:space="0"/>
            </w:tcBorders>
          </w:tcPr>
          <w:p>
            <w:pPr>
              <w:spacing w:line="360" w:lineRule="auto"/>
              <w:ind w:left="60" w:right="60"/>
              <w:jc w:val="both"/>
              <w:rPr>
                <w:rFonts w:cs="Times New Roman"/>
                <w:szCs w:val="24"/>
              </w:rPr>
            </w:pPr>
            <w:r>
              <w:rPr>
                <w:rFonts w:cs="Times New Roman"/>
                <w:szCs w:val="24"/>
              </w:rPr>
              <w:t>.801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2" w:hRule="atLeast"/>
        </w:trPr>
        <w:tc>
          <w:tcPr>
            <w:tcW w:w="2949"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Mean MI</w:t>
            </w:r>
          </w:p>
        </w:tc>
        <w:tc>
          <w:tcPr>
            <w:tcW w:w="2145"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1.000</w:t>
            </w:r>
          </w:p>
        </w:tc>
        <w:tc>
          <w:tcPr>
            <w:tcW w:w="2310"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.690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2" w:hRule="atLeast"/>
        </w:trPr>
        <w:tc>
          <w:tcPr>
            <w:tcW w:w="7404" w:type="dxa"/>
            <w:gridSpan w:val="3"/>
            <w:tcBorders>
              <w:top w:val="single" w:color="auto" w:sz="4" w:space="0"/>
            </w:tcBorders>
          </w:tcPr>
          <w:p>
            <w:pPr>
              <w:spacing w:line="360" w:lineRule="auto"/>
              <w:ind w:left="60" w:right="60"/>
              <w:jc w:val="both"/>
              <w:rPr>
                <w:rFonts w:cs="Times New Roman"/>
                <w:i/>
                <w:iCs/>
                <w:szCs w:val="24"/>
              </w:rPr>
            </w:pPr>
            <w:r>
              <w:rPr>
                <w:rFonts w:cs="Times New Roman"/>
                <w:i/>
                <w:iCs/>
                <w:szCs w:val="24"/>
              </w:rPr>
              <w:t>Extraction Method: Principal Component Analysis.</w:t>
            </w:r>
          </w:p>
        </w:tc>
      </w:tr>
    </w:tbl>
    <w:p>
      <w:pPr>
        <w:spacing w:line="360" w:lineRule="auto"/>
        <w:jc w:val="both"/>
        <w:rPr>
          <w:rFonts w:cs="Times New Roman"/>
          <w:szCs w:val="24"/>
        </w:rPr>
      </w:pPr>
      <w:r>
        <w:rPr>
          <w:rFonts w:cs="Times New Roman"/>
          <w:szCs w:val="24"/>
        </w:rPr>
        <w:br w:type="textWrapping" w:clear="all"/>
      </w:r>
    </w:p>
    <w:p>
      <w:pPr>
        <w:spacing w:line="360" w:lineRule="auto"/>
        <w:ind w:right="60"/>
        <w:jc w:val="both"/>
        <w:rPr>
          <w:rFonts w:cs="Times New Roman"/>
          <w:szCs w:val="24"/>
        </w:rPr>
      </w:pPr>
      <w:r>
        <w:rPr>
          <w:rFonts w:cs="Times New Roman"/>
          <w:szCs w:val="24"/>
        </w:rPr>
        <w:t>According to the table 12 above, the significant values are less than 0.05 and the KMO values are greater than 0.6, these data allow us to draw the conclusion that the measurement tool is accurate enough to use for this study.</w:t>
      </w:r>
    </w:p>
    <w:p>
      <w:pPr>
        <w:spacing w:line="360" w:lineRule="auto"/>
        <w:ind w:right="60"/>
        <w:jc w:val="both"/>
        <w:rPr>
          <w:rFonts w:cs="Times New Roman"/>
          <w:szCs w:val="24"/>
        </w:rPr>
      </w:pPr>
    </w:p>
    <w:p>
      <w:pPr>
        <w:spacing w:line="360" w:lineRule="auto"/>
        <w:ind w:right="60"/>
        <w:jc w:val="both"/>
        <w:rPr>
          <w:rFonts w:cs="Times New Roman"/>
          <w:szCs w:val="24"/>
        </w:rPr>
      </w:pPr>
    </w:p>
    <w:p>
      <w:pPr>
        <w:spacing w:line="360" w:lineRule="auto"/>
        <w:jc w:val="both"/>
        <w:rPr>
          <w:rFonts w:cs="Times New Roman"/>
          <w:color w:val="000000" w:themeColor="text1"/>
          <w:szCs w:val="24"/>
          <w:lang w:val="en-GB"/>
          <w14:textFill>
            <w14:solidFill>
              <w14:schemeClr w14:val="tx1"/>
            </w14:solidFill>
          </w14:textFill>
        </w:rPr>
      </w:pPr>
    </w:p>
    <w:p>
      <w:pPr>
        <w:pStyle w:val="4"/>
        <w:numPr>
          <w:ilvl w:val="0"/>
          <w:numId w:val="0"/>
        </w:numPr>
        <w:spacing w:line="360" w:lineRule="auto"/>
        <w:rPr>
          <w:rFonts w:cs="Times New Roman"/>
          <w:b w:val="0"/>
          <w:i/>
        </w:rPr>
      </w:pPr>
      <w:bookmarkStart w:id="74" w:name="_Toc141558999"/>
      <w:r>
        <w:rPr>
          <w:rFonts w:cs="Times New Roman"/>
          <w:b w:val="0"/>
          <w:i/>
          <w:highlight w:val="yellow"/>
        </w:rPr>
        <w:t>Multicollinearity</w:t>
      </w:r>
      <w:bookmarkEnd w:id="74"/>
    </w:p>
    <w:p>
      <w:pPr>
        <w:pStyle w:val="8"/>
        <w:spacing w:line="360" w:lineRule="auto"/>
      </w:pPr>
    </w:p>
    <w:p>
      <w:pPr>
        <w:spacing w:line="360" w:lineRule="auto"/>
        <w:jc w:val="both"/>
        <w:rPr>
          <w:rFonts w:cs="Times New Roman"/>
          <w:szCs w:val="24"/>
        </w:rPr>
      </w:pPr>
      <w:r>
        <w:rPr>
          <w:rFonts w:cs="Times New Roman"/>
          <w:szCs w:val="24"/>
        </w:rPr>
        <w:t xml:space="preserve">When two or more independent variables in a regression model have a high correlation with one another, multicollinearity arises. This means that in a regression model, one independent variable can be predicted from another independent variable. To determine if there are strong correlations between the independent variables or not, a multicollinearity test was undertaken. High inter-correlation between the independent variables can cause results between the dependent and independent variables to be misinterpreted. </w:t>
      </w:r>
    </w:p>
    <w:p>
      <w:pPr>
        <w:spacing w:line="360" w:lineRule="auto"/>
        <w:jc w:val="both"/>
        <w:rPr>
          <w:rFonts w:cs="Times New Roman"/>
          <w:szCs w:val="24"/>
        </w:rPr>
      </w:pPr>
      <w:r>
        <w:rPr>
          <w:rFonts w:cs="Times New Roman"/>
          <w:szCs w:val="24"/>
        </w:rPr>
        <w:t>To ensure that there was no multicollinearity between the independent variables in this study, the researcher used the Pearson correlation.</w:t>
      </w:r>
    </w:p>
    <w:p>
      <w:pPr>
        <w:spacing w:line="360" w:lineRule="auto"/>
        <w:jc w:val="both"/>
        <w:rPr>
          <w:rFonts w:cs="Times New Roman"/>
          <w:szCs w:val="24"/>
        </w:rPr>
      </w:pPr>
    </w:p>
    <w:p>
      <w:pPr>
        <w:pStyle w:val="9"/>
        <w:keepNext/>
        <w:spacing w:line="360" w:lineRule="auto"/>
        <w:rPr>
          <w:rFonts w:cs="Times New Roman"/>
          <w:i w:val="0"/>
          <w:szCs w:val="24"/>
        </w:rPr>
      </w:pPr>
      <w:r>
        <w:rPr>
          <w:rFonts w:cs="Times New Roman"/>
          <w:i w:val="0"/>
          <w:szCs w:val="24"/>
        </w:rPr>
        <w:t>Table 13: Correlations</w:t>
      </w:r>
    </w:p>
    <w:tbl>
      <w:tblPr>
        <w:tblStyle w:val="25"/>
        <w:tblW w:w="799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25"/>
        <w:gridCol w:w="2172"/>
        <w:gridCol w:w="1329"/>
        <w:gridCol w:w="982"/>
        <w:gridCol w:w="1145"/>
        <w:gridCol w:w="11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7" w:hRule="atLeast"/>
        </w:trPr>
        <w:tc>
          <w:tcPr>
            <w:tcW w:w="3397" w:type="dxa"/>
            <w:gridSpan w:val="2"/>
            <w:tcBorders>
              <w:top w:val="single" w:color="auto" w:sz="4" w:space="0"/>
            </w:tcBorders>
            <w:shd w:val="clear" w:color="auto" w:fill="E7E6E6" w:themeFill="background2"/>
          </w:tcPr>
          <w:p>
            <w:pPr>
              <w:spacing w:line="360" w:lineRule="auto"/>
              <w:jc w:val="both"/>
              <w:rPr>
                <w:rFonts w:cs="Times New Roman"/>
                <w:szCs w:val="24"/>
              </w:rPr>
            </w:pPr>
          </w:p>
        </w:tc>
        <w:tc>
          <w:tcPr>
            <w:tcW w:w="1329" w:type="dxa"/>
            <w:tcBorders>
              <w:top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Magsmen</w:t>
            </w:r>
          </w:p>
        </w:tc>
        <w:tc>
          <w:tcPr>
            <w:tcW w:w="982" w:type="dxa"/>
            <w:tcBorders>
              <w:top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Mean</w:t>
            </w:r>
          </w:p>
          <w:p>
            <w:pPr>
              <w:spacing w:line="360" w:lineRule="auto"/>
              <w:ind w:left="60" w:right="60"/>
              <w:jc w:val="both"/>
              <w:rPr>
                <w:rFonts w:cs="Times New Roman"/>
                <w:szCs w:val="24"/>
              </w:rPr>
            </w:pPr>
            <w:r>
              <w:rPr>
                <w:rFonts w:cs="Times New Roman"/>
                <w:szCs w:val="24"/>
              </w:rPr>
              <w:t>MC</w:t>
            </w:r>
          </w:p>
        </w:tc>
        <w:tc>
          <w:tcPr>
            <w:tcW w:w="1145" w:type="dxa"/>
            <w:tcBorders>
              <w:top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Mean</w:t>
            </w:r>
          </w:p>
          <w:p>
            <w:pPr>
              <w:spacing w:line="360" w:lineRule="auto"/>
              <w:ind w:left="60" w:right="60"/>
              <w:jc w:val="both"/>
              <w:rPr>
                <w:rFonts w:cs="Times New Roman"/>
                <w:szCs w:val="24"/>
              </w:rPr>
            </w:pPr>
            <w:r>
              <w:rPr>
                <w:rFonts w:cs="Times New Roman"/>
                <w:szCs w:val="24"/>
              </w:rPr>
              <w:t>MS</w:t>
            </w:r>
          </w:p>
        </w:tc>
        <w:tc>
          <w:tcPr>
            <w:tcW w:w="1141" w:type="dxa"/>
            <w:tcBorders>
              <w:top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Mean</w:t>
            </w:r>
          </w:p>
          <w:p>
            <w:pPr>
              <w:spacing w:line="360" w:lineRule="auto"/>
              <w:ind w:left="60" w:right="60"/>
              <w:jc w:val="both"/>
              <w:rPr>
                <w:rFonts w:cs="Times New Roman"/>
                <w:szCs w:val="24"/>
              </w:rPr>
            </w:pPr>
            <w:r>
              <w:rPr>
                <w:rFonts w:cs="Times New Roman"/>
                <w:szCs w:val="24"/>
              </w:rPr>
              <w:t>MI</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8" w:hRule="atLeast"/>
        </w:trPr>
        <w:tc>
          <w:tcPr>
            <w:tcW w:w="1225" w:type="dxa"/>
            <w:vMerge w:val="restart"/>
          </w:tcPr>
          <w:p>
            <w:pPr>
              <w:spacing w:line="360" w:lineRule="auto"/>
              <w:ind w:left="60" w:right="60"/>
              <w:jc w:val="both"/>
              <w:rPr>
                <w:rFonts w:cs="Times New Roman"/>
                <w:szCs w:val="24"/>
              </w:rPr>
            </w:pPr>
            <w:r>
              <w:rPr>
                <w:rFonts w:cs="Times New Roman"/>
                <w:szCs w:val="24"/>
              </w:rPr>
              <w:t>Mean</w:t>
            </w:r>
          </w:p>
          <w:p>
            <w:pPr>
              <w:spacing w:line="360" w:lineRule="auto"/>
              <w:ind w:left="60" w:right="60"/>
              <w:jc w:val="both"/>
              <w:rPr>
                <w:rFonts w:cs="Times New Roman"/>
                <w:szCs w:val="24"/>
              </w:rPr>
            </w:pPr>
            <w:r>
              <w:rPr>
                <w:rFonts w:cs="Times New Roman"/>
                <w:szCs w:val="24"/>
              </w:rPr>
              <w:t>GMSME</w:t>
            </w:r>
          </w:p>
        </w:tc>
        <w:tc>
          <w:tcPr>
            <w:tcW w:w="2172" w:type="dxa"/>
          </w:tcPr>
          <w:p>
            <w:pPr>
              <w:spacing w:line="360" w:lineRule="auto"/>
              <w:ind w:left="60" w:right="60"/>
              <w:jc w:val="both"/>
              <w:rPr>
                <w:rFonts w:cs="Times New Roman"/>
                <w:szCs w:val="24"/>
              </w:rPr>
            </w:pPr>
            <w:r>
              <w:rPr>
                <w:rFonts w:cs="Times New Roman"/>
                <w:szCs w:val="24"/>
              </w:rPr>
              <w:t>Pearson Correlation</w:t>
            </w:r>
          </w:p>
        </w:tc>
        <w:tc>
          <w:tcPr>
            <w:tcW w:w="1329" w:type="dxa"/>
          </w:tcPr>
          <w:p>
            <w:pPr>
              <w:spacing w:line="360" w:lineRule="auto"/>
              <w:ind w:left="60" w:right="60"/>
              <w:jc w:val="both"/>
              <w:rPr>
                <w:rFonts w:cs="Times New Roman"/>
                <w:szCs w:val="24"/>
              </w:rPr>
            </w:pPr>
            <w:r>
              <w:rPr>
                <w:rFonts w:cs="Times New Roman"/>
                <w:szCs w:val="24"/>
              </w:rPr>
              <w:t>1</w:t>
            </w:r>
          </w:p>
        </w:tc>
        <w:tc>
          <w:tcPr>
            <w:tcW w:w="982" w:type="dxa"/>
          </w:tcPr>
          <w:p>
            <w:pPr>
              <w:spacing w:line="360" w:lineRule="auto"/>
              <w:ind w:left="60" w:right="60"/>
              <w:jc w:val="both"/>
              <w:rPr>
                <w:rFonts w:cs="Times New Roman"/>
                <w:szCs w:val="24"/>
              </w:rPr>
            </w:pPr>
            <w:r>
              <w:rPr>
                <w:rFonts w:cs="Times New Roman"/>
                <w:szCs w:val="24"/>
              </w:rPr>
              <w:t>.612</w:t>
            </w:r>
            <w:r>
              <w:rPr>
                <w:rFonts w:cs="Times New Roman"/>
                <w:szCs w:val="24"/>
                <w:vertAlign w:val="superscript"/>
              </w:rPr>
              <w:t>**</w:t>
            </w:r>
          </w:p>
        </w:tc>
        <w:tc>
          <w:tcPr>
            <w:tcW w:w="1145" w:type="dxa"/>
          </w:tcPr>
          <w:p>
            <w:pPr>
              <w:spacing w:line="360" w:lineRule="auto"/>
              <w:ind w:left="60" w:right="60"/>
              <w:jc w:val="both"/>
              <w:rPr>
                <w:rFonts w:cs="Times New Roman"/>
                <w:szCs w:val="24"/>
              </w:rPr>
            </w:pPr>
            <w:r>
              <w:rPr>
                <w:rFonts w:cs="Times New Roman"/>
                <w:szCs w:val="24"/>
              </w:rPr>
              <w:t>.665</w:t>
            </w:r>
            <w:r>
              <w:rPr>
                <w:rFonts w:cs="Times New Roman"/>
                <w:szCs w:val="24"/>
                <w:vertAlign w:val="superscript"/>
              </w:rPr>
              <w:t>**</w:t>
            </w:r>
          </w:p>
        </w:tc>
        <w:tc>
          <w:tcPr>
            <w:tcW w:w="1141" w:type="dxa"/>
          </w:tcPr>
          <w:p>
            <w:pPr>
              <w:spacing w:line="360" w:lineRule="auto"/>
              <w:ind w:left="60" w:right="60"/>
              <w:jc w:val="both"/>
              <w:rPr>
                <w:rFonts w:cs="Times New Roman"/>
                <w:szCs w:val="24"/>
              </w:rPr>
            </w:pPr>
            <w:r>
              <w:rPr>
                <w:rFonts w:cs="Times New Roman"/>
                <w:szCs w:val="24"/>
              </w:rPr>
              <w:t>.554</w:t>
            </w:r>
            <w:r>
              <w:rPr>
                <w:rFonts w:cs="Times New Roman"/>
                <w:szCs w:val="24"/>
                <w:vertAlign w:val="superscript"/>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1225" w:type="dxa"/>
            <w:vMerge w:val="continue"/>
          </w:tcPr>
          <w:p>
            <w:pPr>
              <w:spacing w:line="360" w:lineRule="auto"/>
              <w:jc w:val="both"/>
              <w:rPr>
                <w:rFonts w:cs="Times New Roman"/>
                <w:szCs w:val="24"/>
              </w:rPr>
            </w:pPr>
          </w:p>
        </w:tc>
        <w:tc>
          <w:tcPr>
            <w:tcW w:w="2172" w:type="dxa"/>
          </w:tcPr>
          <w:p>
            <w:pPr>
              <w:spacing w:line="360" w:lineRule="auto"/>
              <w:ind w:left="60" w:right="60"/>
              <w:jc w:val="both"/>
              <w:rPr>
                <w:rFonts w:cs="Times New Roman"/>
                <w:szCs w:val="24"/>
              </w:rPr>
            </w:pPr>
            <w:r>
              <w:rPr>
                <w:rFonts w:cs="Times New Roman"/>
                <w:szCs w:val="24"/>
              </w:rPr>
              <w:t>Sig. (2-tailed)</w:t>
            </w:r>
          </w:p>
        </w:tc>
        <w:tc>
          <w:tcPr>
            <w:tcW w:w="1329" w:type="dxa"/>
          </w:tcPr>
          <w:p>
            <w:pPr>
              <w:spacing w:line="360" w:lineRule="auto"/>
              <w:jc w:val="both"/>
              <w:rPr>
                <w:rFonts w:cs="Times New Roman"/>
                <w:szCs w:val="24"/>
              </w:rPr>
            </w:pPr>
          </w:p>
        </w:tc>
        <w:tc>
          <w:tcPr>
            <w:tcW w:w="982" w:type="dxa"/>
          </w:tcPr>
          <w:p>
            <w:pPr>
              <w:spacing w:line="360" w:lineRule="auto"/>
              <w:ind w:left="60" w:right="60"/>
              <w:jc w:val="both"/>
              <w:rPr>
                <w:rFonts w:cs="Times New Roman"/>
                <w:szCs w:val="24"/>
              </w:rPr>
            </w:pPr>
            <w:r>
              <w:rPr>
                <w:rFonts w:cs="Times New Roman"/>
                <w:szCs w:val="24"/>
              </w:rPr>
              <w:t>.000</w:t>
            </w:r>
          </w:p>
        </w:tc>
        <w:tc>
          <w:tcPr>
            <w:tcW w:w="1145" w:type="dxa"/>
          </w:tcPr>
          <w:p>
            <w:pPr>
              <w:spacing w:line="360" w:lineRule="auto"/>
              <w:ind w:left="60" w:right="60"/>
              <w:jc w:val="both"/>
              <w:rPr>
                <w:rFonts w:cs="Times New Roman"/>
                <w:szCs w:val="24"/>
              </w:rPr>
            </w:pPr>
            <w:r>
              <w:rPr>
                <w:rFonts w:cs="Times New Roman"/>
                <w:szCs w:val="24"/>
              </w:rPr>
              <w:t>.000</w:t>
            </w:r>
          </w:p>
        </w:tc>
        <w:tc>
          <w:tcPr>
            <w:tcW w:w="1141" w:type="dxa"/>
          </w:tcPr>
          <w:p>
            <w:pPr>
              <w:spacing w:line="360" w:lineRule="auto"/>
              <w:ind w:left="60" w:right="60"/>
              <w:jc w:val="both"/>
              <w:rPr>
                <w:rFonts w:cs="Times New Roman"/>
                <w:szCs w:val="24"/>
              </w:rPr>
            </w:pPr>
            <w:r>
              <w:rPr>
                <w:rFonts w:cs="Times New Roman"/>
                <w:szCs w:val="24"/>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 w:hRule="atLeast"/>
        </w:trPr>
        <w:tc>
          <w:tcPr>
            <w:tcW w:w="1225" w:type="dxa"/>
            <w:vMerge w:val="continue"/>
          </w:tcPr>
          <w:p>
            <w:pPr>
              <w:spacing w:line="360" w:lineRule="auto"/>
              <w:jc w:val="both"/>
              <w:rPr>
                <w:rFonts w:cs="Times New Roman"/>
                <w:szCs w:val="24"/>
              </w:rPr>
            </w:pPr>
          </w:p>
        </w:tc>
        <w:tc>
          <w:tcPr>
            <w:tcW w:w="2172" w:type="dxa"/>
          </w:tcPr>
          <w:p>
            <w:pPr>
              <w:spacing w:line="360" w:lineRule="auto"/>
              <w:ind w:left="60" w:right="60"/>
              <w:jc w:val="both"/>
              <w:rPr>
                <w:rFonts w:cs="Times New Roman"/>
                <w:szCs w:val="24"/>
              </w:rPr>
            </w:pPr>
            <w:r>
              <w:rPr>
                <w:rFonts w:cs="Times New Roman"/>
                <w:szCs w:val="24"/>
              </w:rPr>
              <w:t>N</w:t>
            </w:r>
          </w:p>
        </w:tc>
        <w:tc>
          <w:tcPr>
            <w:tcW w:w="1329" w:type="dxa"/>
          </w:tcPr>
          <w:p>
            <w:pPr>
              <w:spacing w:line="360" w:lineRule="auto"/>
              <w:ind w:left="60" w:right="60"/>
              <w:jc w:val="both"/>
              <w:rPr>
                <w:rFonts w:cs="Times New Roman"/>
                <w:szCs w:val="24"/>
              </w:rPr>
            </w:pPr>
            <w:r>
              <w:rPr>
                <w:rFonts w:cs="Times New Roman"/>
                <w:szCs w:val="24"/>
              </w:rPr>
              <w:t>250</w:t>
            </w:r>
          </w:p>
        </w:tc>
        <w:tc>
          <w:tcPr>
            <w:tcW w:w="982" w:type="dxa"/>
          </w:tcPr>
          <w:p>
            <w:pPr>
              <w:spacing w:line="360" w:lineRule="auto"/>
              <w:ind w:left="60" w:right="60"/>
              <w:jc w:val="both"/>
              <w:rPr>
                <w:rFonts w:cs="Times New Roman"/>
                <w:szCs w:val="24"/>
              </w:rPr>
            </w:pPr>
            <w:r>
              <w:rPr>
                <w:rFonts w:cs="Times New Roman"/>
                <w:szCs w:val="24"/>
              </w:rPr>
              <w:t>250</w:t>
            </w:r>
          </w:p>
        </w:tc>
        <w:tc>
          <w:tcPr>
            <w:tcW w:w="1145" w:type="dxa"/>
          </w:tcPr>
          <w:p>
            <w:pPr>
              <w:spacing w:line="360" w:lineRule="auto"/>
              <w:ind w:left="60" w:right="60"/>
              <w:jc w:val="both"/>
              <w:rPr>
                <w:rFonts w:cs="Times New Roman"/>
                <w:szCs w:val="24"/>
              </w:rPr>
            </w:pPr>
            <w:r>
              <w:rPr>
                <w:rFonts w:cs="Times New Roman"/>
                <w:szCs w:val="24"/>
              </w:rPr>
              <w:t>250</w:t>
            </w:r>
          </w:p>
        </w:tc>
        <w:tc>
          <w:tcPr>
            <w:tcW w:w="1141" w:type="dxa"/>
          </w:tcPr>
          <w:p>
            <w:pPr>
              <w:spacing w:line="360" w:lineRule="auto"/>
              <w:ind w:left="60" w:right="60"/>
              <w:jc w:val="both"/>
              <w:rPr>
                <w:rFonts w:cs="Times New Roman"/>
                <w:szCs w:val="24"/>
              </w:rPr>
            </w:pPr>
            <w:r>
              <w:rPr>
                <w:rFonts w:cs="Times New Roman"/>
                <w:szCs w:val="24"/>
              </w:rPr>
              <w:t>250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8" w:hRule="atLeast"/>
        </w:trPr>
        <w:tc>
          <w:tcPr>
            <w:tcW w:w="1225" w:type="dxa"/>
            <w:vMerge w:val="restart"/>
          </w:tcPr>
          <w:p>
            <w:pPr>
              <w:spacing w:line="360" w:lineRule="auto"/>
              <w:ind w:left="60" w:right="60"/>
              <w:jc w:val="both"/>
              <w:rPr>
                <w:rFonts w:cs="Times New Roman"/>
                <w:szCs w:val="24"/>
              </w:rPr>
            </w:pPr>
            <w:r>
              <w:rPr>
                <w:rFonts w:cs="Times New Roman"/>
                <w:szCs w:val="24"/>
              </w:rPr>
              <w:t>Mean</w:t>
            </w:r>
          </w:p>
          <w:p>
            <w:pPr>
              <w:spacing w:line="360" w:lineRule="auto"/>
              <w:ind w:left="60" w:right="60"/>
              <w:jc w:val="both"/>
              <w:rPr>
                <w:rFonts w:cs="Times New Roman"/>
                <w:szCs w:val="24"/>
              </w:rPr>
            </w:pPr>
            <w:r>
              <w:rPr>
                <w:rFonts w:cs="Times New Roman"/>
                <w:szCs w:val="24"/>
              </w:rPr>
              <w:t>MC</w:t>
            </w:r>
          </w:p>
        </w:tc>
        <w:tc>
          <w:tcPr>
            <w:tcW w:w="2172" w:type="dxa"/>
          </w:tcPr>
          <w:p>
            <w:pPr>
              <w:spacing w:line="360" w:lineRule="auto"/>
              <w:ind w:left="60" w:right="60"/>
              <w:jc w:val="both"/>
              <w:rPr>
                <w:rFonts w:cs="Times New Roman"/>
                <w:szCs w:val="24"/>
              </w:rPr>
            </w:pPr>
            <w:r>
              <w:rPr>
                <w:rFonts w:cs="Times New Roman"/>
                <w:szCs w:val="24"/>
              </w:rPr>
              <w:t>Pearson Correlation</w:t>
            </w:r>
          </w:p>
        </w:tc>
        <w:tc>
          <w:tcPr>
            <w:tcW w:w="1329" w:type="dxa"/>
          </w:tcPr>
          <w:p>
            <w:pPr>
              <w:spacing w:line="360" w:lineRule="auto"/>
              <w:ind w:left="60" w:right="60"/>
              <w:jc w:val="both"/>
              <w:rPr>
                <w:rFonts w:cs="Times New Roman"/>
                <w:szCs w:val="24"/>
              </w:rPr>
            </w:pPr>
            <w:r>
              <w:rPr>
                <w:rFonts w:cs="Times New Roman"/>
                <w:szCs w:val="24"/>
              </w:rPr>
              <w:t>.612</w:t>
            </w:r>
            <w:r>
              <w:rPr>
                <w:rFonts w:cs="Times New Roman"/>
                <w:szCs w:val="24"/>
                <w:vertAlign w:val="superscript"/>
              </w:rPr>
              <w:t>**</w:t>
            </w:r>
          </w:p>
        </w:tc>
        <w:tc>
          <w:tcPr>
            <w:tcW w:w="982" w:type="dxa"/>
          </w:tcPr>
          <w:p>
            <w:pPr>
              <w:spacing w:line="360" w:lineRule="auto"/>
              <w:ind w:left="60" w:right="60"/>
              <w:jc w:val="both"/>
              <w:rPr>
                <w:rFonts w:cs="Times New Roman"/>
                <w:szCs w:val="24"/>
              </w:rPr>
            </w:pPr>
            <w:r>
              <w:rPr>
                <w:rFonts w:cs="Times New Roman"/>
                <w:szCs w:val="24"/>
              </w:rPr>
              <w:t>1</w:t>
            </w:r>
          </w:p>
        </w:tc>
        <w:tc>
          <w:tcPr>
            <w:tcW w:w="1145" w:type="dxa"/>
          </w:tcPr>
          <w:p>
            <w:pPr>
              <w:spacing w:line="360" w:lineRule="auto"/>
              <w:ind w:left="60" w:right="60"/>
              <w:jc w:val="both"/>
              <w:rPr>
                <w:rFonts w:cs="Times New Roman"/>
                <w:szCs w:val="24"/>
              </w:rPr>
            </w:pPr>
            <w:r>
              <w:rPr>
                <w:rFonts w:cs="Times New Roman"/>
                <w:szCs w:val="24"/>
              </w:rPr>
              <w:t>.675</w:t>
            </w:r>
            <w:r>
              <w:rPr>
                <w:rFonts w:cs="Times New Roman"/>
                <w:szCs w:val="24"/>
                <w:vertAlign w:val="superscript"/>
              </w:rPr>
              <w:t>**</w:t>
            </w:r>
          </w:p>
        </w:tc>
        <w:tc>
          <w:tcPr>
            <w:tcW w:w="1141" w:type="dxa"/>
          </w:tcPr>
          <w:p>
            <w:pPr>
              <w:spacing w:line="360" w:lineRule="auto"/>
              <w:ind w:left="60" w:right="60"/>
              <w:jc w:val="both"/>
              <w:rPr>
                <w:rFonts w:cs="Times New Roman"/>
                <w:szCs w:val="24"/>
              </w:rPr>
            </w:pPr>
            <w:r>
              <w:rPr>
                <w:rFonts w:cs="Times New Roman"/>
                <w:szCs w:val="24"/>
              </w:rPr>
              <w:t>.587</w:t>
            </w:r>
            <w:r>
              <w:rPr>
                <w:rFonts w:cs="Times New Roman"/>
                <w:szCs w:val="24"/>
                <w:vertAlign w:val="superscript"/>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 w:hRule="atLeast"/>
        </w:trPr>
        <w:tc>
          <w:tcPr>
            <w:tcW w:w="1225" w:type="dxa"/>
            <w:vMerge w:val="continue"/>
          </w:tcPr>
          <w:p>
            <w:pPr>
              <w:spacing w:line="360" w:lineRule="auto"/>
              <w:jc w:val="both"/>
              <w:rPr>
                <w:rFonts w:cs="Times New Roman"/>
                <w:szCs w:val="24"/>
              </w:rPr>
            </w:pPr>
          </w:p>
        </w:tc>
        <w:tc>
          <w:tcPr>
            <w:tcW w:w="2172" w:type="dxa"/>
          </w:tcPr>
          <w:p>
            <w:pPr>
              <w:spacing w:line="360" w:lineRule="auto"/>
              <w:ind w:left="60" w:right="60"/>
              <w:jc w:val="both"/>
              <w:rPr>
                <w:rFonts w:cs="Times New Roman"/>
                <w:szCs w:val="24"/>
              </w:rPr>
            </w:pPr>
            <w:r>
              <w:rPr>
                <w:rFonts w:cs="Times New Roman"/>
                <w:szCs w:val="24"/>
              </w:rPr>
              <w:t>Sig. (2-tailed)</w:t>
            </w:r>
          </w:p>
        </w:tc>
        <w:tc>
          <w:tcPr>
            <w:tcW w:w="1329" w:type="dxa"/>
          </w:tcPr>
          <w:p>
            <w:pPr>
              <w:spacing w:line="360" w:lineRule="auto"/>
              <w:ind w:left="60" w:right="60"/>
              <w:jc w:val="both"/>
              <w:rPr>
                <w:rFonts w:cs="Times New Roman"/>
                <w:szCs w:val="24"/>
              </w:rPr>
            </w:pPr>
            <w:r>
              <w:rPr>
                <w:rFonts w:cs="Times New Roman"/>
                <w:szCs w:val="24"/>
              </w:rPr>
              <w:t>.000</w:t>
            </w:r>
          </w:p>
        </w:tc>
        <w:tc>
          <w:tcPr>
            <w:tcW w:w="982" w:type="dxa"/>
          </w:tcPr>
          <w:p>
            <w:pPr>
              <w:spacing w:line="360" w:lineRule="auto"/>
              <w:jc w:val="both"/>
              <w:rPr>
                <w:rFonts w:cs="Times New Roman"/>
                <w:szCs w:val="24"/>
              </w:rPr>
            </w:pPr>
          </w:p>
        </w:tc>
        <w:tc>
          <w:tcPr>
            <w:tcW w:w="1145" w:type="dxa"/>
          </w:tcPr>
          <w:p>
            <w:pPr>
              <w:spacing w:line="360" w:lineRule="auto"/>
              <w:ind w:left="60" w:right="60"/>
              <w:jc w:val="both"/>
              <w:rPr>
                <w:rFonts w:cs="Times New Roman"/>
                <w:szCs w:val="24"/>
              </w:rPr>
            </w:pPr>
            <w:r>
              <w:rPr>
                <w:rFonts w:cs="Times New Roman"/>
                <w:szCs w:val="24"/>
              </w:rPr>
              <w:t>.000</w:t>
            </w:r>
          </w:p>
        </w:tc>
        <w:tc>
          <w:tcPr>
            <w:tcW w:w="1141" w:type="dxa"/>
          </w:tcPr>
          <w:p>
            <w:pPr>
              <w:spacing w:line="360" w:lineRule="auto"/>
              <w:ind w:left="60" w:right="60"/>
              <w:jc w:val="both"/>
              <w:rPr>
                <w:rFonts w:cs="Times New Roman"/>
                <w:szCs w:val="24"/>
              </w:rPr>
            </w:pPr>
            <w:r>
              <w:rPr>
                <w:rFonts w:cs="Times New Roman"/>
                <w:szCs w:val="24"/>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 w:hRule="atLeast"/>
        </w:trPr>
        <w:tc>
          <w:tcPr>
            <w:tcW w:w="1225" w:type="dxa"/>
            <w:vMerge w:val="continue"/>
          </w:tcPr>
          <w:p>
            <w:pPr>
              <w:spacing w:line="360" w:lineRule="auto"/>
              <w:jc w:val="both"/>
              <w:rPr>
                <w:rFonts w:cs="Times New Roman"/>
                <w:szCs w:val="24"/>
              </w:rPr>
            </w:pPr>
          </w:p>
        </w:tc>
        <w:tc>
          <w:tcPr>
            <w:tcW w:w="2172" w:type="dxa"/>
          </w:tcPr>
          <w:p>
            <w:pPr>
              <w:spacing w:line="360" w:lineRule="auto"/>
              <w:ind w:left="60" w:right="60"/>
              <w:jc w:val="both"/>
              <w:rPr>
                <w:rFonts w:cs="Times New Roman"/>
                <w:szCs w:val="24"/>
              </w:rPr>
            </w:pPr>
            <w:r>
              <w:rPr>
                <w:rFonts w:cs="Times New Roman"/>
                <w:szCs w:val="24"/>
              </w:rPr>
              <w:t>N</w:t>
            </w:r>
          </w:p>
        </w:tc>
        <w:tc>
          <w:tcPr>
            <w:tcW w:w="1329" w:type="dxa"/>
          </w:tcPr>
          <w:p>
            <w:pPr>
              <w:spacing w:line="360" w:lineRule="auto"/>
              <w:ind w:left="60" w:right="60"/>
              <w:jc w:val="both"/>
              <w:rPr>
                <w:rFonts w:cs="Times New Roman"/>
                <w:szCs w:val="24"/>
              </w:rPr>
            </w:pPr>
            <w:r>
              <w:rPr>
                <w:rFonts w:cs="Times New Roman"/>
                <w:szCs w:val="24"/>
              </w:rPr>
              <w:t>250</w:t>
            </w:r>
          </w:p>
        </w:tc>
        <w:tc>
          <w:tcPr>
            <w:tcW w:w="982" w:type="dxa"/>
          </w:tcPr>
          <w:p>
            <w:pPr>
              <w:spacing w:line="360" w:lineRule="auto"/>
              <w:ind w:left="60" w:right="60"/>
              <w:jc w:val="both"/>
              <w:rPr>
                <w:rFonts w:cs="Times New Roman"/>
                <w:szCs w:val="24"/>
              </w:rPr>
            </w:pPr>
            <w:r>
              <w:rPr>
                <w:rFonts w:cs="Times New Roman"/>
                <w:szCs w:val="24"/>
              </w:rPr>
              <w:t>250</w:t>
            </w:r>
          </w:p>
        </w:tc>
        <w:tc>
          <w:tcPr>
            <w:tcW w:w="1145" w:type="dxa"/>
          </w:tcPr>
          <w:p>
            <w:pPr>
              <w:spacing w:line="360" w:lineRule="auto"/>
              <w:ind w:left="60" w:right="60"/>
              <w:jc w:val="both"/>
              <w:rPr>
                <w:rFonts w:cs="Times New Roman"/>
                <w:szCs w:val="24"/>
              </w:rPr>
            </w:pPr>
            <w:r>
              <w:rPr>
                <w:rFonts w:cs="Times New Roman"/>
                <w:szCs w:val="24"/>
              </w:rPr>
              <w:t>250</w:t>
            </w:r>
          </w:p>
        </w:tc>
        <w:tc>
          <w:tcPr>
            <w:tcW w:w="1141" w:type="dxa"/>
          </w:tcPr>
          <w:p>
            <w:pPr>
              <w:spacing w:line="360" w:lineRule="auto"/>
              <w:ind w:left="60" w:right="60"/>
              <w:jc w:val="both"/>
              <w:rPr>
                <w:rFonts w:cs="Times New Roman"/>
                <w:szCs w:val="24"/>
              </w:rPr>
            </w:pPr>
            <w:r>
              <w:rPr>
                <w:rFonts w:cs="Times New Roman"/>
                <w:szCs w:val="24"/>
              </w:rPr>
              <w:t>250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8" w:hRule="atLeast"/>
        </w:trPr>
        <w:tc>
          <w:tcPr>
            <w:tcW w:w="1225" w:type="dxa"/>
            <w:vMerge w:val="restart"/>
          </w:tcPr>
          <w:p>
            <w:pPr>
              <w:spacing w:line="360" w:lineRule="auto"/>
              <w:ind w:left="60" w:right="60"/>
              <w:jc w:val="both"/>
              <w:rPr>
                <w:rFonts w:cs="Times New Roman"/>
                <w:szCs w:val="24"/>
              </w:rPr>
            </w:pPr>
            <w:r>
              <w:rPr>
                <w:rFonts w:cs="Times New Roman"/>
                <w:szCs w:val="24"/>
              </w:rPr>
              <w:t>Mean</w:t>
            </w:r>
          </w:p>
          <w:p>
            <w:pPr>
              <w:spacing w:line="360" w:lineRule="auto"/>
              <w:ind w:left="60" w:right="60"/>
              <w:jc w:val="both"/>
              <w:rPr>
                <w:rFonts w:cs="Times New Roman"/>
                <w:szCs w:val="24"/>
              </w:rPr>
            </w:pPr>
            <w:r>
              <w:rPr>
                <w:rFonts w:cs="Times New Roman"/>
                <w:szCs w:val="24"/>
              </w:rPr>
              <w:t>MS</w:t>
            </w:r>
          </w:p>
        </w:tc>
        <w:tc>
          <w:tcPr>
            <w:tcW w:w="2172" w:type="dxa"/>
          </w:tcPr>
          <w:p>
            <w:pPr>
              <w:spacing w:line="360" w:lineRule="auto"/>
              <w:ind w:left="60" w:right="60"/>
              <w:jc w:val="both"/>
              <w:rPr>
                <w:rFonts w:cs="Times New Roman"/>
                <w:szCs w:val="24"/>
              </w:rPr>
            </w:pPr>
            <w:r>
              <w:rPr>
                <w:rFonts w:cs="Times New Roman"/>
                <w:szCs w:val="24"/>
              </w:rPr>
              <w:t>Pearson Correlation</w:t>
            </w:r>
          </w:p>
        </w:tc>
        <w:tc>
          <w:tcPr>
            <w:tcW w:w="1329" w:type="dxa"/>
          </w:tcPr>
          <w:p>
            <w:pPr>
              <w:spacing w:line="360" w:lineRule="auto"/>
              <w:ind w:left="60" w:right="60"/>
              <w:jc w:val="both"/>
              <w:rPr>
                <w:rFonts w:cs="Times New Roman"/>
                <w:szCs w:val="24"/>
              </w:rPr>
            </w:pPr>
            <w:r>
              <w:rPr>
                <w:rFonts w:cs="Times New Roman"/>
                <w:szCs w:val="24"/>
              </w:rPr>
              <w:t>.665</w:t>
            </w:r>
            <w:r>
              <w:rPr>
                <w:rFonts w:cs="Times New Roman"/>
                <w:szCs w:val="24"/>
                <w:vertAlign w:val="superscript"/>
              </w:rPr>
              <w:t>**</w:t>
            </w:r>
          </w:p>
        </w:tc>
        <w:tc>
          <w:tcPr>
            <w:tcW w:w="982" w:type="dxa"/>
          </w:tcPr>
          <w:p>
            <w:pPr>
              <w:spacing w:line="360" w:lineRule="auto"/>
              <w:ind w:left="60" w:right="60"/>
              <w:jc w:val="both"/>
              <w:rPr>
                <w:rFonts w:cs="Times New Roman"/>
                <w:szCs w:val="24"/>
              </w:rPr>
            </w:pPr>
            <w:r>
              <w:rPr>
                <w:rFonts w:cs="Times New Roman"/>
                <w:szCs w:val="24"/>
              </w:rPr>
              <w:t>.675</w:t>
            </w:r>
            <w:r>
              <w:rPr>
                <w:rFonts w:cs="Times New Roman"/>
                <w:szCs w:val="24"/>
                <w:vertAlign w:val="superscript"/>
              </w:rPr>
              <w:t>**</w:t>
            </w:r>
          </w:p>
        </w:tc>
        <w:tc>
          <w:tcPr>
            <w:tcW w:w="1145" w:type="dxa"/>
          </w:tcPr>
          <w:p>
            <w:pPr>
              <w:spacing w:line="360" w:lineRule="auto"/>
              <w:ind w:left="60" w:right="60"/>
              <w:jc w:val="both"/>
              <w:rPr>
                <w:rFonts w:cs="Times New Roman"/>
                <w:szCs w:val="24"/>
              </w:rPr>
            </w:pPr>
            <w:r>
              <w:rPr>
                <w:rFonts w:cs="Times New Roman"/>
                <w:szCs w:val="24"/>
              </w:rPr>
              <w:t>1</w:t>
            </w:r>
          </w:p>
        </w:tc>
        <w:tc>
          <w:tcPr>
            <w:tcW w:w="1141" w:type="dxa"/>
          </w:tcPr>
          <w:p>
            <w:pPr>
              <w:spacing w:line="360" w:lineRule="auto"/>
              <w:ind w:left="60" w:right="60"/>
              <w:jc w:val="both"/>
              <w:rPr>
                <w:rFonts w:cs="Times New Roman"/>
                <w:szCs w:val="24"/>
              </w:rPr>
            </w:pPr>
            <w:r>
              <w:rPr>
                <w:rFonts w:cs="Times New Roman"/>
                <w:szCs w:val="24"/>
              </w:rPr>
              <w:t>.690</w:t>
            </w:r>
            <w:r>
              <w:rPr>
                <w:rFonts w:cs="Times New Roman"/>
                <w:szCs w:val="24"/>
                <w:vertAlign w:val="superscript"/>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 w:hRule="atLeast"/>
        </w:trPr>
        <w:tc>
          <w:tcPr>
            <w:tcW w:w="1225" w:type="dxa"/>
            <w:vMerge w:val="continue"/>
          </w:tcPr>
          <w:p>
            <w:pPr>
              <w:spacing w:line="360" w:lineRule="auto"/>
              <w:jc w:val="both"/>
              <w:rPr>
                <w:rFonts w:cs="Times New Roman"/>
                <w:szCs w:val="24"/>
              </w:rPr>
            </w:pPr>
          </w:p>
        </w:tc>
        <w:tc>
          <w:tcPr>
            <w:tcW w:w="2172" w:type="dxa"/>
          </w:tcPr>
          <w:p>
            <w:pPr>
              <w:spacing w:line="360" w:lineRule="auto"/>
              <w:ind w:left="60" w:right="60"/>
              <w:jc w:val="both"/>
              <w:rPr>
                <w:rFonts w:cs="Times New Roman"/>
                <w:szCs w:val="24"/>
              </w:rPr>
            </w:pPr>
            <w:r>
              <w:rPr>
                <w:rFonts w:cs="Times New Roman"/>
                <w:szCs w:val="24"/>
              </w:rPr>
              <w:t>Sig. (2-tailed)</w:t>
            </w:r>
          </w:p>
        </w:tc>
        <w:tc>
          <w:tcPr>
            <w:tcW w:w="1329" w:type="dxa"/>
          </w:tcPr>
          <w:p>
            <w:pPr>
              <w:spacing w:line="360" w:lineRule="auto"/>
              <w:ind w:left="60" w:right="60"/>
              <w:jc w:val="both"/>
              <w:rPr>
                <w:rFonts w:cs="Times New Roman"/>
                <w:szCs w:val="24"/>
              </w:rPr>
            </w:pPr>
            <w:r>
              <w:rPr>
                <w:rFonts w:cs="Times New Roman"/>
                <w:szCs w:val="24"/>
              </w:rPr>
              <w:t>.000</w:t>
            </w:r>
          </w:p>
        </w:tc>
        <w:tc>
          <w:tcPr>
            <w:tcW w:w="982" w:type="dxa"/>
          </w:tcPr>
          <w:p>
            <w:pPr>
              <w:spacing w:line="360" w:lineRule="auto"/>
              <w:ind w:left="60" w:right="60"/>
              <w:jc w:val="both"/>
              <w:rPr>
                <w:rFonts w:cs="Times New Roman"/>
                <w:szCs w:val="24"/>
              </w:rPr>
            </w:pPr>
            <w:r>
              <w:rPr>
                <w:rFonts w:cs="Times New Roman"/>
                <w:szCs w:val="24"/>
              </w:rPr>
              <w:t>.000</w:t>
            </w:r>
          </w:p>
        </w:tc>
        <w:tc>
          <w:tcPr>
            <w:tcW w:w="1145" w:type="dxa"/>
          </w:tcPr>
          <w:p>
            <w:pPr>
              <w:spacing w:line="360" w:lineRule="auto"/>
              <w:jc w:val="both"/>
              <w:rPr>
                <w:rFonts w:cs="Times New Roman"/>
                <w:szCs w:val="24"/>
              </w:rPr>
            </w:pPr>
          </w:p>
        </w:tc>
        <w:tc>
          <w:tcPr>
            <w:tcW w:w="1141" w:type="dxa"/>
          </w:tcPr>
          <w:p>
            <w:pPr>
              <w:spacing w:line="360" w:lineRule="auto"/>
              <w:ind w:left="60" w:right="60"/>
              <w:jc w:val="both"/>
              <w:rPr>
                <w:rFonts w:cs="Times New Roman"/>
                <w:szCs w:val="24"/>
              </w:rPr>
            </w:pPr>
            <w:r>
              <w:rPr>
                <w:rFonts w:cs="Times New Roman"/>
                <w:szCs w:val="24"/>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 w:hRule="atLeast"/>
        </w:trPr>
        <w:tc>
          <w:tcPr>
            <w:tcW w:w="1225" w:type="dxa"/>
            <w:vMerge w:val="continue"/>
          </w:tcPr>
          <w:p>
            <w:pPr>
              <w:spacing w:line="360" w:lineRule="auto"/>
              <w:jc w:val="both"/>
              <w:rPr>
                <w:rFonts w:cs="Times New Roman"/>
                <w:szCs w:val="24"/>
              </w:rPr>
            </w:pPr>
          </w:p>
        </w:tc>
        <w:tc>
          <w:tcPr>
            <w:tcW w:w="2172" w:type="dxa"/>
          </w:tcPr>
          <w:p>
            <w:pPr>
              <w:spacing w:line="360" w:lineRule="auto"/>
              <w:ind w:left="60" w:right="60"/>
              <w:jc w:val="both"/>
              <w:rPr>
                <w:rFonts w:cs="Times New Roman"/>
                <w:szCs w:val="24"/>
              </w:rPr>
            </w:pPr>
            <w:r>
              <w:rPr>
                <w:rFonts w:cs="Times New Roman"/>
                <w:szCs w:val="24"/>
              </w:rPr>
              <w:t>N</w:t>
            </w:r>
          </w:p>
        </w:tc>
        <w:tc>
          <w:tcPr>
            <w:tcW w:w="1329" w:type="dxa"/>
          </w:tcPr>
          <w:p>
            <w:pPr>
              <w:spacing w:line="360" w:lineRule="auto"/>
              <w:ind w:left="60" w:right="60"/>
              <w:jc w:val="both"/>
              <w:rPr>
                <w:rFonts w:cs="Times New Roman"/>
                <w:szCs w:val="24"/>
              </w:rPr>
            </w:pPr>
            <w:r>
              <w:rPr>
                <w:rFonts w:cs="Times New Roman"/>
                <w:szCs w:val="24"/>
              </w:rPr>
              <w:t>250</w:t>
            </w:r>
          </w:p>
        </w:tc>
        <w:tc>
          <w:tcPr>
            <w:tcW w:w="982" w:type="dxa"/>
          </w:tcPr>
          <w:p>
            <w:pPr>
              <w:spacing w:line="360" w:lineRule="auto"/>
              <w:ind w:left="60" w:right="60"/>
              <w:jc w:val="both"/>
              <w:rPr>
                <w:rFonts w:cs="Times New Roman"/>
                <w:szCs w:val="24"/>
              </w:rPr>
            </w:pPr>
            <w:r>
              <w:rPr>
                <w:rFonts w:cs="Times New Roman"/>
                <w:szCs w:val="24"/>
              </w:rPr>
              <w:t>250</w:t>
            </w:r>
          </w:p>
        </w:tc>
        <w:tc>
          <w:tcPr>
            <w:tcW w:w="1145" w:type="dxa"/>
          </w:tcPr>
          <w:p>
            <w:pPr>
              <w:spacing w:line="360" w:lineRule="auto"/>
              <w:ind w:left="60" w:right="60"/>
              <w:jc w:val="both"/>
              <w:rPr>
                <w:rFonts w:cs="Times New Roman"/>
                <w:szCs w:val="24"/>
              </w:rPr>
            </w:pPr>
            <w:r>
              <w:rPr>
                <w:rFonts w:cs="Times New Roman"/>
                <w:szCs w:val="24"/>
              </w:rPr>
              <w:t>250</w:t>
            </w:r>
          </w:p>
        </w:tc>
        <w:tc>
          <w:tcPr>
            <w:tcW w:w="1141" w:type="dxa"/>
          </w:tcPr>
          <w:p>
            <w:pPr>
              <w:spacing w:line="360" w:lineRule="auto"/>
              <w:ind w:left="60" w:right="60"/>
              <w:jc w:val="both"/>
              <w:rPr>
                <w:rFonts w:cs="Times New Roman"/>
                <w:szCs w:val="24"/>
              </w:rPr>
            </w:pPr>
            <w:r>
              <w:rPr>
                <w:rFonts w:cs="Times New Roman"/>
                <w:szCs w:val="24"/>
              </w:rPr>
              <w:t>250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8" w:hRule="atLeast"/>
        </w:trPr>
        <w:tc>
          <w:tcPr>
            <w:tcW w:w="1225" w:type="dxa"/>
            <w:vMerge w:val="restart"/>
          </w:tcPr>
          <w:p>
            <w:pPr>
              <w:spacing w:line="360" w:lineRule="auto"/>
              <w:ind w:left="60" w:right="60"/>
              <w:jc w:val="both"/>
              <w:rPr>
                <w:rFonts w:cs="Times New Roman"/>
                <w:szCs w:val="24"/>
              </w:rPr>
            </w:pPr>
            <w:r>
              <w:rPr>
                <w:rFonts w:cs="Times New Roman"/>
                <w:szCs w:val="24"/>
              </w:rPr>
              <w:t>Mean</w:t>
            </w:r>
          </w:p>
          <w:p>
            <w:pPr>
              <w:spacing w:line="360" w:lineRule="auto"/>
              <w:ind w:left="60" w:right="60"/>
              <w:jc w:val="both"/>
              <w:rPr>
                <w:rFonts w:cs="Times New Roman"/>
                <w:szCs w:val="24"/>
              </w:rPr>
            </w:pPr>
            <w:r>
              <w:rPr>
                <w:rFonts w:cs="Times New Roman"/>
                <w:szCs w:val="24"/>
              </w:rPr>
              <w:t>MI</w:t>
            </w:r>
          </w:p>
        </w:tc>
        <w:tc>
          <w:tcPr>
            <w:tcW w:w="2172" w:type="dxa"/>
          </w:tcPr>
          <w:p>
            <w:pPr>
              <w:spacing w:line="360" w:lineRule="auto"/>
              <w:ind w:left="60" w:right="60"/>
              <w:jc w:val="both"/>
              <w:rPr>
                <w:rFonts w:cs="Times New Roman"/>
                <w:szCs w:val="24"/>
              </w:rPr>
            </w:pPr>
            <w:r>
              <w:rPr>
                <w:rFonts w:cs="Times New Roman"/>
                <w:szCs w:val="24"/>
              </w:rPr>
              <w:t>Pearson Correlation</w:t>
            </w:r>
          </w:p>
        </w:tc>
        <w:tc>
          <w:tcPr>
            <w:tcW w:w="1329" w:type="dxa"/>
          </w:tcPr>
          <w:p>
            <w:pPr>
              <w:spacing w:line="360" w:lineRule="auto"/>
              <w:ind w:left="60" w:right="60"/>
              <w:jc w:val="both"/>
              <w:rPr>
                <w:rFonts w:cs="Times New Roman"/>
                <w:szCs w:val="24"/>
              </w:rPr>
            </w:pPr>
            <w:r>
              <w:rPr>
                <w:rFonts w:cs="Times New Roman"/>
                <w:szCs w:val="24"/>
              </w:rPr>
              <w:t>.554</w:t>
            </w:r>
            <w:r>
              <w:rPr>
                <w:rFonts w:cs="Times New Roman"/>
                <w:szCs w:val="24"/>
                <w:vertAlign w:val="superscript"/>
              </w:rPr>
              <w:t>**</w:t>
            </w:r>
          </w:p>
        </w:tc>
        <w:tc>
          <w:tcPr>
            <w:tcW w:w="982" w:type="dxa"/>
          </w:tcPr>
          <w:p>
            <w:pPr>
              <w:spacing w:line="360" w:lineRule="auto"/>
              <w:ind w:left="60" w:right="60"/>
              <w:jc w:val="both"/>
              <w:rPr>
                <w:rFonts w:cs="Times New Roman"/>
                <w:szCs w:val="24"/>
              </w:rPr>
            </w:pPr>
            <w:r>
              <w:rPr>
                <w:rFonts w:cs="Times New Roman"/>
                <w:szCs w:val="24"/>
              </w:rPr>
              <w:t>.587</w:t>
            </w:r>
            <w:r>
              <w:rPr>
                <w:rFonts w:cs="Times New Roman"/>
                <w:szCs w:val="24"/>
                <w:vertAlign w:val="superscript"/>
              </w:rPr>
              <w:t>**</w:t>
            </w:r>
          </w:p>
        </w:tc>
        <w:tc>
          <w:tcPr>
            <w:tcW w:w="1145" w:type="dxa"/>
          </w:tcPr>
          <w:p>
            <w:pPr>
              <w:spacing w:line="360" w:lineRule="auto"/>
              <w:ind w:left="60" w:right="60"/>
              <w:jc w:val="both"/>
              <w:rPr>
                <w:rFonts w:cs="Times New Roman"/>
                <w:szCs w:val="24"/>
              </w:rPr>
            </w:pPr>
            <w:r>
              <w:rPr>
                <w:rFonts w:cs="Times New Roman"/>
                <w:szCs w:val="24"/>
              </w:rPr>
              <w:t>.690</w:t>
            </w:r>
            <w:r>
              <w:rPr>
                <w:rFonts w:cs="Times New Roman"/>
                <w:szCs w:val="24"/>
                <w:vertAlign w:val="superscript"/>
              </w:rPr>
              <w:t>**</w:t>
            </w:r>
          </w:p>
        </w:tc>
        <w:tc>
          <w:tcPr>
            <w:tcW w:w="1141" w:type="dxa"/>
          </w:tcPr>
          <w:p>
            <w:pPr>
              <w:spacing w:line="360" w:lineRule="auto"/>
              <w:ind w:left="60" w:right="60"/>
              <w:jc w:val="both"/>
              <w:rPr>
                <w:rFonts w:cs="Times New Roman"/>
                <w:szCs w:val="24"/>
              </w:rPr>
            </w:pPr>
            <w:r>
              <w:rPr>
                <w:rFonts w:cs="Times New Roman"/>
                <w:szCs w:val="24"/>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 w:hRule="atLeast"/>
        </w:trPr>
        <w:tc>
          <w:tcPr>
            <w:tcW w:w="1225" w:type="dxa"/>
            <w:vMerge w:val="continue"/>
          </w:tcPr>
          <w:p>
            <w:pPr>
              <w:spacing w:line="360" w:lineRule="auto"/>
              <w:jc w:val="both"/>
              <w:rPr>
                <w:rFonts w:cs="Times New Roman"/>
                <w:szCs w:val="24"/>
              </w:rPr>
            </w:pPr>
          </w:p>
        </w:tc>
        <w:tc>
          <w:tcPr>
            <w:tcW w:w="2172" w:type="dxa"/>
            <w:tcBorders>
              <w:bottom w:val="single" w:color="auto" w:sz="4" w:space="0"/>
            </w:tcBorders>
          </w:tcPr>
          <w:p>
            <w:pPr>
              <w:spacing w:line="360" w:lineRule="auto"/>
              <w:ind w:left="60" w:right="60"/>
              <w:jc w:val="both"/>
              <w:rPr>
                <w:rFonts w:cs="Times New Roman"/>
                <w:szCs w:val="24"/>
              </w:rPr>
            </w:pPr>
            <w:r>
              <w:rPr>
                <w:rFonts w:cs="Times New Roman"/>
                <w:szCs w:val="24"/>
              </w:rPr>
              <w:t>Sig. (2-tailed)</w:t>
            </w:r>
          </w:p>
        </w:tc>
        <w:tc>
          <w:tcPr>
            <w:tcW w:w="1329" w:type="dxa"/>
            <w:tcBorders>
              <w:bottom w:val="single" w:color="auto" w:sz="4" w:space="0"/>
            </w:tcBorders>
          </w:tcPr>
          <w:p>
            <w:pPr>
              <w:spacing w:line="360" w:lineRule="auto"/>
              <w:ind w:left="60" w:right="60"/>
              <w:jc w:val="both"/>
              <w:rPr>
                <w:rFonts w:cs="Times New Roman"/>
                <w:szCs w:val="24"/>
              </w:rPr>
            </w:pPr>
            <w:r>
              <w:rPr>
                <w:rFonts w:cs="Times New Roman"/>
                <w:szCs w:val="24"/>
              </w:rPr>
              <w:t>.000</w:t>
            </w:r>
          </w:p>
        </w:tc>
        <w:tc>
          <w:tcPr>
            <w:tcW w:w="982" w:type="dxa"/>
            <w:tcBorders>
              <w:bottom w:val="single" w:color="auto" w:sz="4" w:space="0"/>
            </w:tcBorders>
          </w:tcPr>
          <w:p>
            <w:pPr>
              <w:spacing w:line="360" w:lineRule="auto"/>
              <w:ind w:left="60" w:right="60"/>
              <w:jc w:val="both"/>
              <w:rPr>
                <w:rFonts w:cs="Times New Roman"/>
                <w:szCs w:val="24"/>
              </w:rPr>
            </w:pPr>
            <w:r>
              <w:rPr>
                <w:rFonts w:cs="Times New Roman"/>
                <w:szCs w:val="24"/>
              </w:rPr>
              <w:t>.000</w:t>
            </w:r>
          </w:p>
        </w:tc>
        <w:tc>
          <w:tcPr>
            <w:tcW w:w="1145" w:type="dxa"/>
            <w:tcBorders>
              <w:bottom w:val="single" w:color="auto" w:sz="4" w:space="0"/>
            </w:tcBorders>
          </w:tcPr>
          <w:p>
            <w:pPr>
              <w:spacing w:line="360" w:lineRule="auto"/>
              <w:ind w:left="60" w:right="60"/>
              <w:jc w:val="both"/>
              <w:rPr>
                <w:rFonts w:cs="Times New Roman"/>
                <w:szCs w:val="24"/>
              </w:rPr>
            </w:pPr>
            <w:r>
              <w:rPr>
                <w:rFonts w:cs="Times New Roman"/>
                <w:szCs w:val="24"/>
              </w:rPr>
              <w:t>.000</w:t>
            </w:r>
          </w:p>
        </w:tc>
        <w:tc>
          <w:tcPr>
            <w:tcW w:w="1141" w:type="dxa"/>
            <w:tcBorders>
              <w:bottom w:val="single" w:color="auto" w:sz="4" w:space="0"/>
            </w:tcBorders>
          </w:tcPr>
          <w:p>
            <w:pPr>
              <w:spacing w:line="360" w:lineRule="auto"/>
              <w:jc w:val="both"/>
              <w:rPr>
                <w:rFonts w:cs="Times New Roman"/>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3" w:hRule="atLeast"/>
        </w:trPr>
        <w:tc>
          <w:tcPr>
            <w:tcW w:w="1225" w:type="dxa"/>
            <w:vMerge w:val="continue"/>
          </w:tcPr>
          <w:p>
            <w:pPr>
              <w:spacing w:line="360" w:lineRule="auto"/>
              <w:jc w:val="both"/>
              <w:rPr>
                <w:rFonts w:cs="Times New Roman"/>
                <w:szCs w:val="24"/>
              </w:rPr>
            </w:pPr>
          </w:p>
        </w:tc>
        <w:tc>
          <w:tcPr>
            <w:tcW w:w="2172"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N</w:t>
            </w:r>
          </w:p>
        </w:tc>
        <w:tc>
          <w:tcPr>
            <w:tcW w:w="1329"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c>
          <w:tcPr>
            <w:tcW w:w="982"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c>
          <w:tcPr>
            <w:tcW w:w="1145"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c>
          <w:tcPr>
            <w:tcW w:w="1141"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3" w:hRule="atLeast"/>
        </w:trPr>
        <w:tc>
          <w:tcPr>
            <w:tcW w:w="7994" w:type="dxa"/>
            <w:gridSpan w:val="6"/>
          </w:tcPr>
          <w:p>
            <w:pPr>
              <w:spacing w:line="360" w:lineRule="auto"/>
              <w:ind w:left="60" w:right="60"/>
              <w:jc w:val="both"/>
              <w:rPr>
                <w:rFonts w:cs="Times New Roman"/>
                <w:szCs w:val="24"/>
              </w:rPr>
            </w:pPr>
            <w:r>
              <w:rPr>
                <w:rFonts w:cs="Times New Roman"/>
                <w:szCs w:val="24"/>
              </w:rPr>
              <w:t>**. Correlation is significant at the 0.01 level (2-tailed).</w:t>
            </w:r>
          </w:p>
        </w:tc>
      </w:tr>
    </w:tbl>
    <w:p>
      <w:pPr>
        <w:spacing w:line="360" w:lineRule="auto"/>
        <w:rPr>
          <w:rFonts w:cs="Times New Roman"/>
        </w:rPr>
      </w:pPr>
    </w:p>
    <w:p>
      <w:pPr>
        <w:spacing w:line="360" w:lineRule="auto"/>
        <w:jc w:val="both"/>
        <w:rPr>
          <w:rFonts w:cs="Times New Roman"/>
          <w:szCs w:val="24"/>
        </w:rPr>
      </w:pPr>
    </w:p>
    <w:p>
      <w:pPr>
        <w:spacing w:line="360" w:lineRule="auto"/>
        <w:jc w:val="both"/>
        <w:rPr>
          <w:rFonts w:cs="Times New Roman"/>
          <w:szCs w:val="24"/>
        </w:rPr>
      </w:pPr>
      <w:r>
        <w:rPr>
          <w:rFonts w:cs="Times New Roman"/>
          <w:szCs w:val="24"/>
        </w:rPr>
        <w:t>All of the Pearson correlation values are less than 0.8, as seen in table 13. This showed that the model's variables are not highly correlated.</w:t>
      </w:r>
    </w:p>
    <w:p>
      <w:pPr>
        <w:spacing w:line="360" w:lineRule="auto"/>
        <w:jc w:val="both"/>
        <w:rPr>
          <w:rFonts w:cs="Times New Roman"/>
          <w:szCs w:val="24"/>
        </w:rPr>
      </w:pPr>
    </w:p>
    <w:p>
      <w:pPr>
        <w:pStyle w:val="3"/>
        <w:numPr>
          <w:ilvl w:val="0"/>
          <w:numId w:val="0"/>
        </w:numPr>
        <w:spacing w:line="360" w:lineRule="auto"/>
        <w:rPr>
          <w:rFonts w:cs="Times New Roman"/>
        </w:rPr>
      </w:pPr>
      <w:bookmarkStart w:id="75" w:name="_Toc125922302"/>
      <w:bookmarkStart w:id="76" w:name="_Toc11563_WPSOffice_Level1"/>
      <w:bookmarkStart w:id="77" w:name="_Toc141559000"/>
      <w:r>
        <w:rPr>
          <w:rFonts w:cs="Times New Roman"/>
        </w:rPr>
        <w:t>Inferential Statistics</w:t>
      </w:r>
      <w:bookmarkEnd w:id="75"/>
      <w:bookmarkEnd w:id="76"/>
      <w:bookmarkEnd w:id="77"/>
    </w:p>
    <w:p>
      <w:pPr>
        <w:spacing w:line="360" w:lineRule="auto"/>
        <w:rPr>
          <w:rFonts w:cs="Times New Roman"/>
          <w:szCs w:val="24"/>
        </w:rPr>
      </w:pPr>
    </w:p>
    <w:p>
      <w:pPr>
        <w:spacing w:line="360" w:lineRule="auto"/>
        <w:jc w:val="both"/>
        <w:rPr>
          <w:rFonts w:cs="Times New Roman"/>
          <w:szCs w:val="24"/>
        </w:rPr>
      </w:pPr>
      <w:r>
        <w:rPr>
          <w:rFonts w:cs="Times New Roman"/>
          <w:szCs w:val="24"/>
        </w:rPr>
        <w:t>The main goal of inferential statistics is to test hypotheses. Regression analysis can be used to test hypotheses. Because there are multiple independent variables in this study, the researcher used multiple regression analysis.</w:t>
      </w:r>
    </w:p>
    <w:p>
      <w:pPr>
        <w:pStyle w:val="8"/>
        <w:spacing w:line="360" w:lineRule="auto"/>
      </w:pPr>
    </w:p>
    <w:p>
      <w:pPr>
        <w:pStyle w:val="4"/>
        <w:numPr>
          <w:ilvl w:val="0"/>
          <w:numId w:val="0"/>
        </w:numPr>
        <w:spacing w:line="360" w:lineRule="auto"/>
        <w:rPr>
          <w:rFonts w:cs="Times New Roman"/>
          <w:b w:val="0"/>
          <w:bCs/>
          <w:i/>
          <w:iCs/>
        </w:rPr>
      </w:pPr>
      <w:bookmarkStart w:id="78" w:name="_Toc125922303"/>
      <w:bookmarkStart w:id="79" w:name="_Toc141559001"/>
      <w:r>
        <w:rPr>
          <w:rFonts w:cs="Times New Roman"/>
          <w:b w:val="0"/>
          <w:bCs/>
          <w:i/>
          <w:iCs/>
        </w:rPr>
        <w:t>R-square and adjusted R-square</w:t>
      </w:r>
      <w:bookmarkEnd w:id="78"/>
      <w:bookmarkEnd w:id="79"/>
    </w:p>
    <w:p>
      <w:pPr>
        <w:pStyle w:val="8"/>
        <w:spacing w:line="360" w:lineRule="auto"/>
      </w:pPr>
    </w:p>
    <w:p>
      <w:pPr>
        <w:spacing w:line="360" w:lineRule="auto"/>
        <w:jc w:val="both"/>
        <w:rPr>
          <w:rFonts w:cs="Times New Roman"/>
          <w:szCs w:val="24"/>
        </w:rPr>
      </w:pPr>
      <w:r>
        <w:rPr>
          <w:rFonts w:cs="Times New Roman"/>
          <w:szCs w:val="24"/>
        </w:rPr>
        <w:t>A measure of the percentage of variance for a dependent variable is explained by an independent variable is called R-squared (R2). The R squire value is an excellent tool to assess the overall predictability of the model. Additionally, it gave the entire population a more realistic estimate. The outcomes of the model summary are shown below.</w:t>
      </w:r>
    </w:p>
    <w:p>
      <w:pPr>
        <w:spacing w:line="360" w:lineRule="auto"/>
        <w:jc w:val="both"/>
        <w:rPr>
          <w:rFonts w:cs="Times New Roman"/>
          <w:szCs w:val="24"/>
        </w:rPr>
      </w:pPr>
    </w:p>
    <w:p>
      <w:pPr>
        <w:spacing w:line="360" w:lineRule="auto"/>
        <w:jc w:val="both"/>
        <w:rPr>
          <w:rFonts w:cs="Times New Roman"/>
          <w:b/>
          <w:bCs/>
          <w:szCs w:val="24"/>
        </w:rPr>
      </w:pPr>
      <w:r>
        <w:rPr>
          <w:rFonts w:cs="Times New Roman"/>
          <w:szCs w:val="24"/>
        </w:rPr>
        <w:t xml:space="preserve"> </w:t>
      </w:r>
      <w:r>
        <w:rPr>
          <w:rFonts w:cs="Times New Roman"/>
          <w:b/>
          <w:bCs/>
          <w:szCs w:val="24"/>
        </w:rPr>
        <w:t>Over All</w:t>
      </w:r>
    </w:p>
    <w:p>
      <w:pPr>
        <w:pStyle w:val="9"/>
        <w:keepNext/>
        <w:spacing w:line="360" w:lineRule="auto"/>
        <w:rPr>
          <w:rFonts w:cs="Times New Roman"/>
          <w:i w:val="0"/>
          <w:szCs w:val="24"/>
        </w:rPr>
      </w:pPr>
      <w:bookmarkStart w:id="80" w:name="_Toc122095181"/>
      <w:r>
        <w:rPr>
          <w:rFonts w:cs="Times New Roman"/>
          <w:i w:val="0"/>
          <w:szCs w:val="24"/>
        </w:rPr>
        <w:t>Table 14: R-square and adjusted R-square</w:t>
      </w:r>
      <w:bookmarkEnd w:id="80"/>
    </w:p>
    <w:tbl>
      <w:tblPr>
        <w:tblStyle w:val="25"/>
        <w:tblW w:w="7594"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32"/>
        <w:gridCol w:w="1329"/>
        <w:gridCol w:w="1411"/>
        <w:gridCol w:w="1908"/>
        <w:gridCol w:w="1914"/>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8" w:hRule="atLeast"/>
        </w:trPr>
        <w:tc>
          <w:tcPr>
            <w:tcW w:w="1032"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Model</w:t>
            </w:r>
          </w:p>
        </w:tc>
        <w:tc>
          <w:tcPr>
            <w:tcW w:w="1329"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R</w:t>
            </w:r>
          </w:p>
        </w:tc>
        <w:tc>
          <w:tcPr>
            <w:tcW w:w="1411"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R Square</w:t>
            </w:r>
          </w:p>
        </w:tc>
        <w:tc>
          <w:tcPr>
            <w:tcW w:w="1908"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Adjusted R Square</w:t>
            </w:r>
          </w:p>
        </w:tc>
        <w:tc>
          <w:tcPr>
            <w:tcW w:w="1914"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Std. Error of the Estimate</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1" w:hRule="atLeast"/>
        </w:trPr>
        <w:tc>
          <w:tcPr>
            <w:tcW w:w="1032"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w:t>
            </w:r>
          </w:p>
        </w:tc>
        <w:tc>
          <w:tcPr>
            <w:tcW w:w="1329"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.706</w:t>
            </w:r>
            <w:r>
              <w:rPr>
                <w:rFonts w:cs="Times New Roman"/>
                <w:szCs w:val="24"/>
                <w:vertAlign w:val="superscript"/>
              </w:rPr>
              <w:t>a</w:t>
            </w:r>
          </w:p>
        </w:tc>
        <w:tc>
          <w:tcPr>
            <w:tcW w:w="1411"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.498</w:t>
            </w:r>
          </w:p>
        </w:tc>
        <w:tc>
          <w:tcPr>
            <w:tcW w:w="1908"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.492</w:t>
            </w:r>
          </w:p>
        </w:tc>
        <w:tc>
          <w:tcPr>
            <w:tcW w:w="1914"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.55065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3" w:hRule="atLeast"/>
        </w:trPr>
        <w:tc>
          <w:tcPr>
            <w:tcW w:w="7594" w:type="dxa"/>
            <w:gridSpan w:val="5"/>
            <w:tcBorders>
              <w:top w:val="single" w:color="auto" w:sz="4" w:space="0"/>
            </w:tcBorders>
          </w:tcPr>
          <w:tbl>
            <w:tblPr>
              <w:tblStyle w:val="7"/>
              <w:tblW w:w="11126"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11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Height w:val="1189" w:hRule="atLeast"/>
              </w:trPr>
              <w:tc>
                <w:tcPr>
                  <w:tcW w:w="11126" w:type="dxa"/>
                  <w:tcBorders>
                    <w:top w:val="nil"/>
                    <w:left w:val="nil"/>
                    <w:bottom w:val="nil"/>
                    <w:right w:val="nil"/>
                  </w:tcBorders>
                  <w:shd w:val="clear" w:color="auto" w:fill="FFFFFF"/>
                </w:tcPr>
                <w:p>
                  <w:pPr>
                    <w:spacing w:line="360" w:lineRule="auto"/>
                    <w:jc w:val="both"/>
                    <w:rPr>
                      <w:rFonts w:cs="Times New Roman"/>
                      <w:szCs w:val="24"/>
                    </w:rPr>
                  </w:pPr>
                </w:p>
                <w:tbl>
                  <w:tblPr>
                    <w:tblStyle w:val="7"/>
                    <w:tblW w:w="11042"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1042"/>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Height w:val="356" w:hRule="atLeast"/>
                    </w:trPr>
                    <w:tc>
                      <w:tcPr>
                        <w:tcW w:w="11042" w:type="dxa"/>
                        <w:tcBorders>
                          <w:top w:val="nil"/>
                          <w:left w:val="nil"/>
                          <w:bottom w:val="nil"/>
                          <w:right w:val="nil"/>
                        </w:tcBorders>
                        <w:shd w:val="clear" w:color="auto" w:fill="FFFFFF"/>
                      </w:tcPr>
                      <w:p>
                        <w:pPr>
                          <w:pStyle w:val="24"/>
                          <w:numPr>
                            <w:ilvl w:val="0"/>
                            <w:numId w:val="5"/>
                          </w:numPr>
                          <w:autoSpaceDE w:val="0"/>
                          <w:autoSpaceDN w:val="0"/>
                          <w:adjustRightInd w:val="0"/>
                          <w:spacing w:line="360" w:lineRule="auto"/>
                          <w:ind w:right="60"/>
                          <w:jc w:val="both"/>
                          <w:rPr>
                            <w:rFonts w:cs="Times New Roman"/>
                            <w:szCs w:val="24"/>
                          </w:rPr>
                        </w:pPr>
                        <w:r>
                          <w:rPr>
                            <w:rFonts w:cs="Times New Roman"/>
                            <w:szCs w:val="24"/>
                          </w:rPr>
                          <w:t>Dependent Variable: Mean GMSME</w:t>
                        </w:r>
                      </w:p>
                    </w:tc>
                  </w:tr>
                </w:tbl>
                <w:p>
                  <w:pPr>
                    <w:pStyle w:val="24"/>
                    <w:numPr>
                      <w:ilvl w:val="0"/>
                      <w:numId w:val="5"/>
                    </w:numPr>
                    <w:autoSpaceDE w:val="0"/>
                    <w:autoSpaceDN w:val="0"/>
                    <w:adjustRightInd w:val="0"/>
                    <w:spacing w:line="360" w:lineRule="auto"/>
                    <w:ind w:right="60"/>
                    <w:jc w:val="both"/>
                    <w:rPr>
                      <w:rFonts w:cs="Times New Roman"/>
                      <w:szCs w:val="24"/>
                    </w:rPr>
                  </w:pPr>
                  <w:r>
                    <w:rPr>
                      <w:rFonts w:cs="Times New Roman"/>
                      <w:szCs w:val="24"/>
                    </w:rPr>
                    <w:t>Predictors: (Constant), Mean MI, Mean MC, Mean MS</w:t>
                  </w:r>
                </w:p>
              </w:tc>
            </w:tr>
          </w:tbl>
          <w:p>
            <w:pPr>
              <w:spacing w:line="360" w:lineRule="auto"/>
              <w:ind w:right="60"/>
              <w:jc w:val="both"/>
              <w:rPr>
                <w:rFonts w:cs="Times New Roman"/>
                <w:szCs w:val="24"/>
              </w:rPr>
            </w:pPr>
          </w:p>
        </w:tc>
      </w:tr>
    </w:tbl>
    <w:p>
      <w:pPr>
        <w:spacing w:line="360" w:lineRule="auto"/>
        <w:ind w:left="4320" w:firstLine="720"/>
        <w:jc w:val="both"/>
        <w:rPr>
          <w:rFonts w:cs="Times New Roman"/>
          <w:i/>
          <w:iCs/>
          <w:color w:val="000000" w:themeColor="text1"/>
          <w:sz w:val="22"/>
          <w:szCs w:val="22"/>
          <w14:textFill>
            <w14:solidFill>
              <w14:schemeClr w14:val="tx1"/>
            </w14:solidFill>
          </w14:textFill>
        </w:rPr>
      </w:pPr>
      <w:r>
        <w:rPr>
          <w:rFonts w:cs="Times New Roman"/>
          <w:i/>
          <w:iCs/>
          <w:color w:val="000000" w:themeColor="text1"/>
          <w:sz w:val="22"/>
          <w:szCs w:val="22"/>
          <w14:textFill>
            <w14:solidFill>
              <w14:schemeClr w14:val="tx1"/>
            </w14:solidFill>
          </w14:textFill>
        </w:rPr>
        <w:t>Source: survey data</w:t>
      </w:r>
    </w:p>
    <w:p>
      <w:pPr>
        <w:spacing w:line="360" w:lineRule="auto"/>
        <w:jc w:val="both"/>
        <w:rPr>
          <w:rFonts w:cs="Times New Roman"/>
          <w:i/>
          <w:iCs/>
          <w:color w:val="000000" w:themeColor="text1"/>
          <w:szCs w:val="24"/>
          <w14:textFill>
            <w14:solidFill>
              <w14:schemeClr w14:val="tx1"/>
            </w14:solidFill>
          </w14:textFill>
        </w:rPr>
      </w:pPr>
    </w:p>
    <w:p>
      <w:pPr>
        <w:tabs>
          <w:tab w:val="right" w:pos="9360"/>
        </w:tabs>
        <w:spacing w:line="360" w:lineRule="auto"/>
        <w:jc w:val="both"/>
        <w:rPr>
          <w:rFonts w:cs="Times New Roman"/>
          <w:szCs w:val="24"/>
        </w:rPr>
      </w:pPr>
      <w:r>
        <w:rPr>
          <w:rFonts w:cs="Times New Roman"/>
          <w:szCs w:val="24"/>
        </w:rPr>
        <w:t xml:space="preserve">Table 14, R Square value of 0.498 indicates that micro-credit, micro-savings and micro-insurance account for 49.8% of the factors influencing the growth of service sector MSMEs in Colombo District, with the remaining 50.2% being explained by other variables </w:t>
      </w:r>
    </w:p>
    <w:p>
      <w:pPr>
        <w:tabs>
          <w:tab w:val="right" w:pos="9360"/>
        </w:tabs>
        <w:spacing w:line="360" w:lineRule="auto"/>
        <w:jc w:val="both"/>
        <w:rPr>
          <w:rFonts w:cs="Times New Roman"/>
          <w:b/>
          <w:bCs/>
          <w:szCs w:val="24"/>
        </w:rPr>
      </w:pPr>
    </w:p>
    <w:p>
      <w:pPr>
        <w:pStyle w:val="9"/>
        <w:keepNext/>
        <w:spacing w:line="360" w:lineRule="auto"/>
        <w:rPr>
          <w:rFonts w:cs="Times New Roman"/>
          <w:i w:val="0"/>
          <w:szCs w:val="24"/>
        </w:rPr>
      </w:pPr>
      <w:bookmarkStart w:id="81" w:name="_Toc122095182"/>
      <w:r>
        <w:rPr>
          <w:rFonts w:cs="Times New Roman"/>
          <w:i w:val="0"/>
          <w:szCs w:val="24"/>
        </w:rPr>
        <w:t>Table 15: Micro Credit</w:t>
      </w:r>
      <w:bookmarkEnd w:id="81"/>
    </w:p>
    <w:tbl>
      <w:tblPr>
        <w:tblStyle w:val="25"/>
        <w:tblpPr w:leftFromText="180" w:rightFromText="180" w:vertAnchor="text" w:horzAnchor="margin" w:tblpY="237"/>
        <w:tblW w:w="7541"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90"/>
        <w:gridCol w:w="872"/>
        <w:gridCol w:w="1120"/>
        <w:gridCol w:w="1517"/>
        <w:gridCol w:w="1517"/>
        <w:gridCol w:w="1525"/>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9" w:hRule="atLeast"/>
        </w:trPr>
        <w:tc>
          <w:tcPr>
            <w:tcW w:w="990"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Model</w:t>
            </w:r>
          </w:p>
        </w:tc>
        <w:tc>
          <w:tcPr>
            <w:tcW w:w="872"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R</w:t>
            </w:r>
          </w:p>
        </w:tc>
        <w:tc>
          <w:tcPr>
            <w:tcW w:w="1120" w:type="dxa"/>
            <w:shd w:val="clear" w:color="auto" w:fill="E7E6E6" w:themeFill="background2"/>
          </w:tcPr>
          <w:p>
            <w:pPr>
              <w:spacing w:line="360" w:lineRule="auto"/>
              <w:ind w:left="60" w:right="60"/>
              <w:jc w:val="both"/>
              <w:rPr>
                <w:rFonts w:cs="Times New Roman"/>
                <w:szCs w:val="24"/>
              </w:rPr>
            </w:pPr>
            <w:r>
              <w:rPr>
                <w:rFonts w:cs="Times New Roman"/>
                <w:szCs w:val="24"/>
              </w:rPr>
              <w:t>R Square</w:t>
            </w:r>
          </w:p>
        </w:tc>
        <w:tc>
          <w:tcPr>
            <w:tcW w:w="1517" w:type="dxa"/>
            <w:shd w:val="clear" w:color="auto" w:fill="E7E6E6" w:themeFill="background2"/>
          </w:tcPr>
          <w:p>
            <w:pPr>
              <w:spacing w:line="360" w:lineRule="auto"/>
              <w:ind w:left="60" w:right="60"/>
              <w:jc w:val="both"/>
              <w:rPr>
                <w:rFonts w:cs="Times New Roman"/>
                <w:szCs w:val="24"/>
              </w:rPr>
            </w:pPr>
            <w:r>
              <w:rPr>
                <w:rFonts w:cs="Times New Roman"/>
                <w:szCs w:val="24"/>
              </w:rPr>
              <w:t>Adjusted R Square</w:t>
            </w:r>
          </w:p>
        </w:tc>
        <w:tc>
          <w:tcPr>
            <w:tcW w:w="1517" w:type="dxa"/>
            <w:shd w:val="clear" w:color="auto" w:fill="E7E6E6" w:themeFill="background2"/>
          </w:tcPr>
          <w:p>
            <w:pPr>
              <w:spacing w:line="360" w:lineRule="auto"/>
              <w:ind w:left="60" w:right="60"/>
              <w:jc w:val="both"/>
              <w:rPr>
                <w:rFonts w:cs="Times New Roman"/>
                <w:szCs w:val="24"/>
              </w:rPr>
            </w:pPr>
            <w:r>
              <w:rPr>
                <w:rFonts w:cs="Times New Roman"/>
                <w:szCs w:val="24"/>
              </w:rPr>
              <w:t>Std. Error of the Estimate</w:t>
            </w:r>
          </w:p>
        </w:tc>
        <w:tc>
          <w:tcPr>
            <w:tcW w:w="1525" w:type="dxa"/>
            <w:shd w:val="clear" w:color="auto" w:fill="E7E6E6" w:themeFill="background2"/>
          </w:tcPr>
          <w:p>
            <w:pPr>
              <w:spacing w:line="360" w:lineRule="auto"/>
              <w:ind w:left="60" w:right="60"/>
              <w:jc w:val="both"/>
              <w:rPr>
                <w:rFonts w:cs="Times New Roman"/>
                <w:szCs w:val="24"/>
              </w:rPr>
            </w:pPr>
            <w:r>
              <w:rPr>
                <w:rFonts w:cs="Times New Roman"/>
                <w:szCs w:val="24"/>
              </w:rPr>
              <w:t>Durbin-Watson</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90" w:type="dxa"/>
            <w:tcBorders>
              <w:top w:val="single" w:color="auto" w:sz="4" w:space="0"/>
            </w:tcBorders>
          </w:tcPr>
          <w:p>
            <w:pPr>
              <w:spacing w:line="360" w:lineRule="auto"/>
              <w:ind w:left="60" w:right="60"/>
              <w:jc w:val="both"/>
              <w:rPr>
                <w:rFonts w:cs="Times New Roman"/>
                <w:szCs w:val="24"/>
              </w:rPr>
            </w:pPr>
          </w:p>
        </w:tc>
        <w:tc>
          <w:tcPr>
            <w:tcW w:w="872"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.612</w:t>
            </w:r>
            <w:r>
              <w:rPr>
                <w:rFonts w:cs="Times New Roman"/>
                <w:szCs w:val="24"/>
                <w:vertAlign w:val="superscript"/>
              </w:rPr>
              <w:t>a</w:t>
            </w:r>
          </w:p>
        </w:tc>
        <w:tc>
          <w:tcPr>
            <w:tcW w:w="1120"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.375</w:t>
            </w:r>
          </w:p>
        </w:tc>
        <w:tc>
          <w:tcPr>
            <w:tcW w:w="1517"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.372</w:t>
            </w:r>
          </w:p>
        </w:tc>
        <w:tc>
          <w:tcPr>
            <w:tcW w:w="1517"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.61188</w:t>
            </w:r>
          </w:p>
        </w:tc>
        <w:tc>
          <w:tcPr>
            <w:tcW w:w="1525"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1.557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7541" w:type="dxa"/>
            <w:gridSpan w:val="6"/>
            <w:tcBorders>
              <w:top w:val="single" w:color="auto" w:sz="4" w:space="0"/>
            </w:tcBorders>
          </w:tcPr>
          <w:p>
            <w:pPr>
              <w:spacing w:line="360" w:lineRule="auto"/>
              <w:ind w:right="60"/>
              <w:jc w:val="both"/>
              <w:rPr>
                <w:rFonts w:cs="Times New Roman"/>
                <w:szCs w:val="24"/>
              </w:rPr>
            </w:pPr>
            <w:r>
              <w:rPr>
                <w:rFonts w:cs="Times New Roman"/>
                <w:szCs w:val="24"/>
              </w:rPr>
              <w:t>a. Predictors: (Constant), Mean MC</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trPr>
        <w:tc>
          <w:tcPr>
            <w:tcW w:w="7541" w:type="dxa"/>
            <w:gridSpan w:val="6"/>
          </w:tcPr>
          <w:p>
            <w:pPr>
              <w:spacing w:line="360" w:lineRule="auto"/>
              <w:ind w:right="60"/>
              <w:jc w:val="both"/>
              <w:rPr>
                <w:rFonts w:cs="Times New Roman"/>
                <w:szCs w:val="24"/>
              </w:rPr>
            </w:pPr>
            <w:r>
              <w:rPr>
                <w:rFonts w:cs="Times New Roman"/>
                <w:szCs w:val="24"/>
              </w:rPr>
              <w:t>b. Dependent Variable: Mean GMSME</w:t>
            </w:r>
          </w:p>
        </w:tc>
      </w:tr>
    </w:tbl>
    <w:p>
      <w:pPr>
        <w:spacing w:line="360" w:lineRule="auto"/>
        <w:jc w:val="both"/>
        <w:rPr>
          <w:rFonts w:cs="Times New Roman"/>
          <w:szCs w:val="24"/>
        </w:rPr>
      </w:pPr>
    </w:p>
    <w:p>
      <w:pPr>
        <w:spacing w:line="360" w:lineRule="auto"/>
        <w:ind w:left="4320" w:firstLine="720"/>
        <w:jc w:val="both"/>
        <w:rPr>
          <w:rFonts w:cs="Times New Roman"/>
          <w:i/>
          <w:iCs/>
          <w:color w:val="000000" w:themeColor="text1"/>
          <w:sz w:val="22"/>
          <w:szCs w:val="22"/>
          <w14:textFill>
            <w14:solidFill>
              <w14:schemeClr w14:val="tx1"/>
            </w14:solidFill>
          </w14:textFill>
        </w:rPr>
      </w:pPr>
      <w:r>
        <w:rPr>
          <w:rFonts w:cs="Times New Roman"/>
          <w:i/>
          <w:iCs/>
          <w:color w:val="000000" w:themeColor="text1"/>
          <w:sz w:val="22"/>
          <w:szCs w:val="22"/>
          <w14:textFill>
            <w14:solidFill>
              <w14:schemeClr w14:val="tx1"/>
            </w14:solidFill>
          </w14:textFill>
        </w:rPr>
        <w:t>Source: survey data</w:t>
      </w:r>
    </w:p>
    <w:p>
      <w:pPr>
        <w:spacing w:line="360" w:lineRule="auto"/>
        <w:jc w:val="both"/>
        <w:rPr>
          <w:rFonts w:cs="Times New Roman"/>
          <w:szCs w:val="24"/>
        </w:rPr>
      </w:pPr>
    </w:p>
    <w:p>
      <w:pPr>
        <w:spacing w:line="360" w:lineRule="auto"/>
        <w:jc w:val="both"/>
        <w:rPr>
          <w:rFonts w:cs="Times New Roman"/>
          <w:szCs w:val="24"/>
        </w:rPr>
      </w:pPr>
      <w:r>
        <w:rPr>
          <w:rFonts w:cs="Times New Roman"/>
          <w:szCs w:val="24"/>
        </w:rPr>
        <w:t>R Square value of 0.375 indicates that micro-credit account for 37.5% of the factors influencing the growth of service sector MSMEs in Colombo District.</w:t>
      </w:r>
    </w:p>
    <w:p>
      <w:pPr>
        <w:spacing w:line="360" w:lineRule="auto"/>
        <w:jc w:val="both"/>
        <w:rPr>
          <w:rFonts w:cs="Times New Roman"/>
          <w:i/>
          <w:szCs w:val="24"/>
        </w:rPr>
      </w:pPr>
    </w:p>
    <w:p>
      <w:pPr>
        <w:pStyle w:val="9"/>
        <w:keepNext/>
        <w:spacing w:line="360" w:lineRule="auto"/>
        <w:rPr>
          <w:rFonts w:cs="Times New Roman"/>
          <w:i w:val="0"/>
          <w:szCs w:val="24"/>
        </w:rPr>
      </w:pPr>
      <w:bookmarkStart w:id="82" w:name="_Toc122095183"/>
      <w:r>
        <w:rPr>
          <w:rFonts w:cs="Times New Roman"/>
          <w:i w:val="0"/>
          <w:szCs w:val="24"/>
        </w:rPr>
        <w:t>Table 16: Micro Savings</w:t>
      </w:r>
      <w:bookmarkEnd w:id="82"/>
    </w:p>
    <w:tbl>
      <w:tblPr>
        <w:tblStyle w:val="25"/>
        <w:tblpPr w:leftFromText="180" w:rightFromText="180" w:vertAnchor="text" w:horzAnchor="margin" w:tblpY="237"/>
        <w:tblW w:w="7586"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90"/>
        <w:gridCol w:w="883"/>
        <w:gridCol w:w="1126"/>
        <w:gridCol w:w="1526"/>
        <w:gridCol w:w="1526"/>
        <w:gridCol w:w="1535"/>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6" w:hRule="atLeast"/>
        </w:trPr>
        <w:tc>
          <w:tcPr>
            <w:tcW w:w="990"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Model</w:t>
            </w:r>
          </w:p>
        </w:tc>
        <w:tc>
          <w:tcPr>
            <w:tcW w:w="883"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R</w:t>
            </w:r>
          </w:p>
        </w:tc>
        <w:tc>
          <w:tcPr>
            <w:tcW w:w="1126" w:type="dxa"/>
            <w:shd w:val="clear" w:color="auto" w:fill="E7E6E6" w:themeFill="background2"/>
          </w:tcPr>
          <w:p>
            <w:pPr>
              <w:spacing w:line="360" w:lineRule="auto"/>
              <w:ind w:left="60" w:right="60"/>
              <w:jc w:val="both"/>
              <w:rPr>
                <w:rFonts w:cs="Times New Roman"/>
                <w:szCs w:val="24"/>
              </w:rPr>
            </w:pPr>
            <w:r>
              <w:rPr>
                <w:rFonts w:cs="Times New Roman"/>
                <w:szCs w:val="24"/>
              </w:rPr>
              <w:t>R Square</w:t>
            </w:r>
          </w:p>
        </w:tc>
        <w:tc>
          <w:tcPr>
            <w:tcW w:w="1526" w:type="dxa"/>
            <w:shd w:val="clear" w:color="auto" w:fill="E7E6E6" w:themeFill="background2"/>
          </w:tcPr>
          <w:p>
            <w:pPr>
              <w:spacing w:line="360" w:lineRule="auto"/>
              <w:ind w:left="60" w:right="60"/>
              <w:jc w:val="both"/>
              <w:rPr>
                <w:rFonts w:cs="Times New Roman"/>
                <w:szCs w:val="24"/>
              </w:rPr>
            </w:pPr>
            <w:r>
              <w:rPr>
                <w:rFonts w:cs="Times New Roman"/>
                <w:szCs w:val="24"/>
              </w:rPr>
              <w:t>Adjusted R Square</w:t>
            </w:r>
          </w:p>
        </w:tc>
        <w:tc>
          <w:tcPr>
            <w:tcW w:w="1526" w:type="dxa"/>
            <w:shd w:val="clear" w:color="auto" w:fill="E7E6E6" w:themeFill="background2"/>
          </w:tcPr>
          <w:p>
            <w:pPr>
              <w:spacing w:line="360" w:lineRule="auto"/>
              <w:ind w:left="60" w:right="60"/>
              <w:jc w:val="both"/>
              <w:rPr>
                <w:rFonts w:cs="Times New Roman"/>
                <w:szCs w:val="24"/>
              </w:rPr>
            </w:pPr>
            <w:r>
              <w:rPr>
                <w:rFonts w:cs="Times New Roman"/>
                <w:szCs w:val="24"/>
              </w:rPr>
              <w:t>Std. Error of the Estimate</w:t>
            </w:r>
          </w:p>
        </w:tc>
        <w:tc>
          <w:tcPr>
            <w:tcW w:w="1535" w:type="dxa"/>
            <w:shd w:val="clear" w:color="auto" w:fill="E7E6E6" w:themeFill="background2"/>
          </w:tcPr>
          <w:p>
            <w:pPr>
              <w:spacing w:line="360" w:lineRule="auto"/>
              <w:ind w:left="60" w:right="60"/>
              <w:jc w:val="both"/>
              <w:rPr>
                <w:rFonts w:cs="Times New Roman"/>
                <w:szCs w:val="24"/>
              </w:rPr>
            </w:pPr>
            <w:r>
              <w:rPr>
                <w:rFonts w:cs="Times New Roman"/>
                <w:szCs w:val="24"/>
              </w:rPr>
              <w:t>Durbin-Watson</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990" w:type="dxa"/>
            <w:tcBorders>
              <w:top w:val="single" w:color="auto" w:sz="4" w:space="0"/>
            </w:tcBorders>
          </w:tcPr>
          <w:p>
            <w:pPr>
              <w:spacing w:line="360" w:lineRule="auto"/>
              <w:ind w:left="60" w:right="60"/>
              <w:jc w:val="both"/>
              <w:rPr>
                <w:rFonts w:cs="Times New Roman"/>
                <w:szCs w:val="24"/>
              </w:rPr>
            </w:pPr>
          </w:p>
        </w:tc>
        <w:tc>
          <w:tcPr>
            <w:tcW w:w="883"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.665</w:t>
            </w:r>
            <w:r>
              <w:rPr>
                <w:rFonts w:cs="Times New Roman"/>
                <w:szCs w:val="24"/>
                <w:vertAlign w:val="superscript"/>
              </w:rPr>
              <w:t>a</w:t>
            </w:r>
          </w:p>
        </w:tc>
        <w:tc>
          <w:tcPr>
            <w:tcW w:w="1126"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.442</w:t>
            </w:r>
          </w:p>
        </w:tc>
        <w:tc>
          <w:tcPr>
            <w:tcW w:w="1526"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.439</w:t>
            </w:r>
          </w:p>
        </w:tc>
        <w:tc>
          <w:tcPr>
            <w:tcW w:w="1526"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.57825</w:t>
            </w:r>
          </w:p>
        </w:tc>
        <w:tc>
          <w:tcPr>
            <w:tcW w:w="1535"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1.784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7586" w:type="dxa"/>
            <w:gridSpan w:val="6"/>
            <w:tcBorders>
              <w:top w:val="single" w:color="auto" w:sz="4" w:space="0"/>
            </w:tcBorders>
          </w:tcPr>
          <w:p>
            <w:pPr>
              <w:spacing w:line="360" w:lineRule="auto"/>
              <w:ind w:right="60"/>
              <w:jc w:val="both"/>
              <w:rPr>
                <w:rFonts w:cs="Times New Roman"/>
                <w:szCs w:val="24"/>
              </w:rPr>
            </w:pPr>
            <w:r>
              <w:rPr>
                <w:rFonts w:cs="Times New Roman"/>
                <w:szCs w:val="24"/>
              </w:rPr>
              <w:t>a. Predictors: (Constant), Mean MS</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586" w:type="dxa"/>
            <w:gridSpan w:val="6"/>
          </w:tcPr>
          <w:p>
            <w:pPr>
              <w:spacing w:line="360" w:lineRule="auto"/>
              <w:ind w:right="60"/>
              <w:jc w:val="both"/>
              <w:rPr>
                <w:rFonts w:cs="Times New Roman"/>
                <w:szCs w:val="24"/>
              </w:rPr>
            </w:pPr>
            <w:r>
              <w:rPr>
                <w:rFonts w:cs="Times New Roman"/>
                <w:szCs w:val="24"/>
              </w:rPr>
              <w:t>b. Dependent Variable: Mean GMSME</w:t>
            </w:r>
          </w:p>
        </w:tc>
      </w:tr>
    </w:tbl>
    <w:p>
      <w:pPr>
        <w:spacing w:line="360" w:lineRule="auto"/>
        <w:ind w:left="4320" w:firstLine="720"/>
        <w:jc w:val="both"/>
        <w:rPr>
          <w:rFonts w:cs="Times New Roman"/>
          <w:i/>
          <w:iCs/>
          <w:color w:val="000000" w:themeColor="text1"/>
          <w:sz w:val="22"/>
          <w:szCs w:val="22"/>
          <w14:textFill>
            <w14:solidFill>
              <w14:schemeClr w14:val="tx1"/>
            </w14:solidFill>
          </w14:textFill>
        </w:rPr>
      </w:pPr>
      <w:r>
        <w:rPr>
          <w:rFonts w:cs="Times New Roman"/>
          <w:i/>
          <w:iCs/>
          <w:color w:val="000000" w:themeColor="text1"/>
          <w:sz w:val="22"/>
          <w:szCs w:val="22"/>
          <w14:textFill>
            <w14:solidFill>
              <w14:schemeClr w14:val="tx1"/>
            </w14:solidFill>
          </w14:textFill>
        </w:rPr>
        <w:t>Source: survey data</w:t>
      </w:r>
    </w:p>
    <w:p>
      <w:pPr>
        <w:spacing w:line="360" w:lineRule="auto"/>
        <w:jc w:val="both"/>
        <w:rPr>
          <w:rFonts w:cs="Times New Roman"/>
          <w:i/>
          <w:iCs/>
          <w:color w:val="000000" w:themeColor="text1"/>
          <w:szCs w:val="24"/>
          <w14:textFill>
            <w14:solidFill>
              <w14:schemeClr w14:val="tx1"/>
            </w14:solidFill>
          </w14:textFill>
        </w:rPr>
      </w:pPr>
    </w:p>
    <w:p>
      <w:pPr>
        <w:spacing w:line="360" w:lineRule="auto"/>
        <w:jc w:val="both"/>
        <w:rPr>
          <w:rFonts w:cs="Times New Roman"/>
          <w:szCs w:val="24"/>
        </w:rPr>
      </w:pPr>
      <w:r>
        <w:rPr>
          <w:rFonts w:cs="Times New Roman"/>
          <w:szCs w:val="24"/>
        </w:rPr>
        <w:t>R Square value of 0.442 indicates that micro-saving account for 44.2% of the factors influencing the growth of service sector MSMEs in Colombo District.</w:t>
      </w:r>
    </w:p>
    <w:p>
      <w:pPr>
        <w:spacing w:line="360" w:lineRule="auto"/>
        <w:jc w:val="both"/>
        <w:rPr>
          <w:rFonts w:cs="Times New Roman"/>
          <w:b/>
          <w:bCs/>
          <w:szCs w:val="24"/>
        </w:rPr>
      </w:pPr>
    </w:p>
    <w:p>
      <w:pPr>
        <w:spacing w:line="360" w:lineRule="auto"/>
        <w:jc w:val="both"/>
        <w:rPr>
          <w:rFonts w:cs="Times New Roman"/>
          <w:b/>
          <w:bCs/>
          <w:szCs w:val="24"/>
        </w:rPr>
      </w:pPr>
    </w:p>
    <w:p>
      <w:pPr>
        <w:spacing w:line="360" w:lineRule="auto"/>
        <w:jc w:val="both"/>
        <w:rPr>
          <w:rFonts w:cs="Times New Roman"/>
          <w:b/>
          <w:bCs/>
          <w:szCs w:val="24"/>
        </w:rPr>
      </w:pPr>
    </w:p>
    <w:p>
      <w:pPr>
        <w:pStyle w:val="9"/>
        <w:keepNext/>
        <w:spacing w:line="360" w:lineRule="auto"/>
        <w:rPr>
          <w:rFonts w:cs="Times New Roman"/>
          <w:i w:val="0"/>
          <w:szCs w:val="24"/>
        </w:rPr>
      </w:pPr>
      <w:bookmarkStart w:id="83" w:name="_Toc122095184"/>
      <w:r>
        <w:rPr>
          <w:rFonts w:cs="Times New Roman"/>
          <w:i w:val="0"/>
          <w:szCs w:val="24"/>
        </w:rPr>
        <w:t>Table 17: Micro Insurance</w:t>
      </w:r>
      <w:bookmarkEnd w:id="83"/>
    </w:p>
    <w:tbl>
      <w:tblPr>
        <w:tblStyle w:val="25"/>
        <w:tblpPr w:leftFromText="180" w:rightFromText="180" w:vertAnchor="text" w:horzAnchor="margin" w:tblpY="237"/>
        <w:tblW w:w="7469"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90"/>
        <w:gridCol w:w="853"/>
        <w:gridCol w:w="1108"/>
        <w:gridCol w:w="1502"/>
        <w:gridCol w:w="1502"/>
        <w:gridCol w:w="1514"/>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990" w:type="dxa"/>
            <w:tcBorders>
              <w:bottom w:val="single" w:color="auto" w:sz="4" w:space="0"/>
            </w:tcBorders>
            <w:shd w:val="clear" w:color="auto" w:fill="E7E6E6" w:themeFill="background2"/>
          </w:tcPr>
          <w:p>
            <w:pPr>
              <w:spacing w:line="360" w:lineRule="auto"/>
              <w:ind w:right="60"/>
              <w:jc w:val="both"/>
              <w:rPr>
                <w:rFonts w:cs="Times New Roman"/>
                <w:szCs w:val="24"/>
              </w:rPr>
            </w:pPr>
            <w:r>
              <w:rPr>
                <w:rFonts w:cs="Times New Roman"/>
                <w:szCs w:val="24"/>
              </w:rPr>
              <w:t>Model</w:t>
            </w:r>
          </w:p>
        </w:tc>
        <w:tc>
          <w:tcPr>
            <w:tcW w:w="853" w:type="dxa"/>
            <w:tcBorders>
              <w:bottom w:val="single" w:color="auto" w:sz="4" w:space="0"/>
            </w:tcBorders>
            <w:shd w:val="clear" w:color="auto" w:fill="E7E6E6" w:themeFill="background2"/>
          </w:tcPr>
          <w:p>
            <w:pPr>
              <w:spacing w:line="360" w:lineRule="auto"/>
              <w:ind w:left="60" w:right="60"/>
              <w:jc w:val="both"/>
              <w:rPr>
                <w:rFonts w:cs="Times New Roman"/>
                <w:szCs w:val="24"/>
              </w:rPr>
            </w:pPr>
            <w:r>
              <w:rPr>
                <w:rFonts w:cs="Times New Roman"/>
                <w:szCs w:val="24"/>
              </w:rPr>
              <w:t>R</w:t>
            </w:r>
          </w:p>
        </w:tc>
        <w:tc>
          <w:tcPr>
            <w:tcW w:w="1108" w:type="dxa"/>
            <w:shd w:val="clear" w:color="auto" w:fill="E7E6E6" w:themeFill="background2"/>
          </w:tcPr>
          <w:p>
            <w:pPr>
              <w:spacing w:line="360" w:lineRule="auto"/>
              <w:ind w:left="60" w:right="60"/>
              <w:jc w:val="both"/>
              <w:rPr>
                <w:rFonts w:cs="Times New Roman"/>
                <w:szCs w:val="24"/>
              </w:rPr>
            </w:pPr>
            <w:r>
              <w:rPr>
                <w:rFonts w:cs="Times New Roman"/>
                <w:szCs w:val="24"/>
              </w:rPr>
              <w:t>R Square</w:t>
            </w:r>
          </w:p>
        </w:tc>
        <w:tc>
          <w:tcPr>
            <w:tcW w:w="1502" w:type="dxa"/>
            <w:shd w:val="clear" w:color="auto" w:fill="E7E6E6" w:themeFill="background2"/>
          </w:tcPr>
          <w:p>
            <w:pPr>
              <w:spacing w:line="360" w:lineRule="auto"/>
              <w:ind w:left="60" w:right="60"/>
              <w:jc w:val="both"/>
              <w:rPr>
                <w:rFonts w:cs="Times New Roman"/>
                <w:szCs w:val="24"/>
              </w:rPr>
            </w:pPr>
            <w:r>
              <w:rPr>
                <w:rFonts w:cs="Times New Roman"/>
                <w:szCs w:val="24"/>
              </w:rPr>
              <w:t>Adjusted R Square</w:t>
            </w:r>
          </w:p>
        </w:tc>
        <w:tc>
          <w:tcPr>
            <w:tcW w:w="1502" w:type="dxa"/>
            <w:shd w:val="clear" w:color="auto" w:fill="E7E6E6" w:themeFill="background2"/>
          </w:tcPr>
          <w:p>
            <w:pPr>
              <w:spacing w:line="360" w:lineRule="auto"/>
              <w:ind w:left="60" w:right="60"/>
              <w:jc w:val="both"/>
              <w:rPr>
                <w:rFonts w:cs="Times New Roman"/>
                <w:szCs w:val="24"/>
              </w:rPr>
            </w:pPr>
            <w:r>
              <w:rPr>
                <w:rFonts w:cs="Times New Roman"/>
                <w:szCs w:val="24"/>
              </w:rPr>
              <w:t>Std. Error of the Estimate</w:t>
            </w:r>
          </w:p>
        </w:tc>
        <w:tc>
          <w:tcPr>
            <w:tcW w:w="1514" w:type="dxa"/>
            <w:shd w:val="clear" w:color="auto" w:fill="E7E6E6" w:themeFill="background2"/>
          </w:tcPr>
          <w:p>
            <w:pPr>
              <w:spacing w:line="360" w:lineRule="auto"/>
              <w:ind w:left="60" w:right="60"/>
              <w:jc w:val="both"/>
              <w:rPr>
                <w:rFonts w:cs="Times New Roman"/>
                <w:szCs w:val="24"/>
              </w:rPr>
            </w:pPr>
            <w:r>
              <w:rPr>
                <w:rFonts w:cs="Times New Roman"/>
                <w:szCs w:val="24"/>
              </w:rPr>
              <w:t>Durbin-Watson</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3" w:hRule="atLeast"/>
        </w:trPr>
        <w:tc>
          <w:tcPr>
            <w:tcW w:w="990" w:type="dxa"/>
            <w:tcBorders>
              <w:top w:val="single" w:color="auto" w:sz="4" w:space="0"/>
            </w:tcBorders>
          </w:tcPr>
          <w:p>
            <w:pPr>
              <w:spacing w:line="360" w:lineRule="auto"/>
              <w:ind w:left="60" w:right="60"/>
              <w:jc w:val="both"/>
              <w:rPr>
                <w:rFonts w:cs="Times New Roman"/>
                <w:szCs w:val="24"/>
              </w:rPr>
            </w:pPr>
          </w:p>
        </w:tc>
        <w:tc>
          <w:tcPr>
            <w:tcW w:w="853"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.554</w:t>
            </w:r>
            <w:r>
              <w:rPr>
                <w:rFonts w:cs="Times New Roman"/>
                <w:szCs w:val="24"/>
                <w:vertAlign w:val="superscript"/>
              </w:rPr>
              <w:t>a</w:t>
            </w:r>
          </w:p>
        </w:tc>
        <w:tc>
          <w:tcPr>
            <w:tcW w:w="1108"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.307</w:t>
            </w:r>
          </w:p>
        </w:tc>
        <w:tc>
          <w:tcPr>
            <w:tcW w:w="1502"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.304</w:t>
            </w:r>
          </w:p>
        </w:tc>
        <w:tc>
          <w:tcPr>
            <w:tcW w:w="1502"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.64430</w:t>
            </w:r>
          </w:p>
        </w:tc>
        <w:tc>
          <w:tcPr>
            <w:tcW w:w="1514"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1.303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3" w:hRule="atLeast"/>
        </w:trPr>
        <w:tc>
          <w:tcPr>
            <w:tcW w:w="7469" w:type="dxa"/>
            <w:gridSpan w:val="6"/>
            <w:tcBorders>
              <w:top w:val="single" w:color="auto" w:sz="4" w:space="0"/>
            </w:tcBorders>
          </w:tcPr>
          <w:p>
            <w:pPr>
              <w:spacing w:line="360" w:lineRule="auto"/>
              <w:ind w:right="60"/>
              <w:jc w:val="both"/>
              <w:rPr>
                <w:rFonts w:cs="Times New Roman"/>
                <w:szCs w:val="24"/>
              </w:rPr>
            </w:pPr>
            <w:r>
              <w:rPr>
                <w:rFonts w:cs="Times New Roman"/>
                <w:szCs w:val="24"/>
              </w:rPr>
              <w:t>a. Predictors: (Constant), Mean MI</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2" w:hRule="atLeast"/>
        </w:trPr>
        <w:tc>
          <w:tcPr>
            <w:tcW w:w="7469" w:type="dxa"/>
            <w:gridSpan w:val="6"/>
          </w:tcPr>
          <w:p>
            <w:pPr>
              <w:spacing w:line="360" w:lineRule="auto"/>
              <w:ind w:right="60"/>
              <w:jc w:val="both"/>
              <w:rPr>
                <w:rFonts w:cs="Times New Roman"/>
                <w:szCs w:val="24"/>
              </w:rPr>
            </w:pPr>
            <w:r>
              <w:rPr>
                <w:rFonts w:cs="Times New Roman"/>
                <w:szCs w:val="24"/>
              </w:rPr>
              <w:t>b. Dependent Variable: Mean GMSME</w:t>
            </w:r>
          </w:p>
        </w:tc>
      </w:tr>
    </w:tbl>
    <w:p>
      <w:pPr>
        <w:spacing w:line="360" w:lineRule="auto"/>
        <w:ind w:left="4320" w:firstLine="720"/>
        <w:jc w:val="both"/>
        <w:rPr>
          <w:rFonts w:cs="Times New Roman"/>
          <w:sz w:val="22"/>
          <w:szCs w:val="22"/>
        </w:rPr>
      </w:pPr>
      <w:r>
        <w:rPr>
          <w:rFonts w:cs="Times New Roman"/>
          <w:i/>
          <w:iCs/>
          <w:color w:val="000000" w:themeColor="text1"/>
          <w:sz w:val="22"/>
          <w:szCs w:val="22"/>
          <w14:textFill>
            <w14:solidFill>
              <w14:schemeClr w14:val="tx1"/>
            </w14:solidFill>
          </w14:textFill>
        </w:rPr>
        <w:t>Source: survey data</w:t>
      </w:r>
    </w:p>
    <w:p>
      <w:pPr>
        <w:spacing w:line="360" w:lineRule="auto"/>
        <w:jc w:val="both"/>
        <w:rPr>
          <w:rFonts w:cs="Times New Roman"/>
          <w:szCs w:val="24"/>
        </w:rPr>
      </w:pPr>
    </w:p>
    <w:p>
      <w:pPr>
        <w:spacing w:line="360" w:lineRule="auto"/>
        <w:jc w:val="both"/>
        <w:rPr>
          <w:rFonts w:cs="Times New Roman"/>
          <w:szCs w:val="24"/>
        </w:rPr>
      </w:pPr>
      <w:r>
        <w:rPr>
          <w:rFonts w:cs="Times New Roman"/>
          <w:szCs w:val="24"/>
        </w:rPr>
        <w:t>R Square value of 0.307 indicates that micro-saving account for 30.7% of the factors influencing the growth of service sector MSMEs in Colombo District.</w:t>
      </w:r>
    </w:p>
    <w:p>
      <w:pPr>
        <w:spacing w:line="360" w:lineRule="auto"/>
        <w:jc w:val="both"/>
        <w:rPr>
          <w:rFonts w:cs="Times New Roman"/>
          <w:szCs w:val="24"/>
        </w:rPr>
      </w:pPr>
    </w:p>
    <w:p>
      <w:pPr>
        <w:spacing w:line="360" w:lineRule="auto"/>
        <w:jc w:val="both"/>
        <w:rPr>
          <w:rFonts w:cs="Times New Roman"/>
          <w:szCs w:val="24"/>
        </w:rPr>
      </w:pPr>
    </w:p>
    <w:p>
      <w:pPr>
        <w:spacing w:line="360" w:lineRule="auto"/>
        <w:jc w:val="both"/>
        <w:rPr>
          <w:rFonts w:cs="Times New Roman"/>
          <w:i/>
          <w:iCs/>
          <w:color w:val="000000" w:themeColor="text1"/>
          <w:szCs w:val="24"/>
          <w14:textFill>
            <w14:solidFill>
              <w14:schemeClr w14:val="tx1"/>
            </w14:solidFill>
          </w14:textFill>
        </w:rPr>
      </w:pPr>
    </w:p>
    <w:p>
      <w:pPr>
        <w:pStyle w:val="4"/>
        <w:numPr>
          <w:ilvl w:val="0"/>
          <w:numId w:val="0"/>
        </w:numPr>
        <w:spacing w:line="360" w:lineRule="auto"/>
        <w:ind w:left="720" w:hanging="720"/>
        <w:rPr>
          <w:rFonts w:cs="Times New Roman"/>
          <w:b w:val="0"/>
          <w:bCs/>
          <w:i/>
          <w:iCs/>
        </w:rPr>
      </w:pPr>
      <w:bookmarkStart w:id="84" w:name="_Toc141559002"/>
      <w:bookmarkStart w:id="85" w:name="_Toc125922304"/>
      <w:r>
        <w:rPr>
          <w:rFonts w:cs="Times New Roman"/>
          <w:b w:val="0"/>
          <w:bCs/>
          <w:i/>
          <w:iCs/>
        </w:rPr>
        <w:t>ANOVA</w:t>
      </w:r>
      <w:bookmarkEnd w:id="84"/>
      <w:bookmarkEnd w:id="85"/>
    </w:p>
    <w:p>
      <w:pPr>
        <w:pStyle w:val="8"/>
        <w:spacing w:line="360" w:lineRule="auto"/>
      </w:pPr>
    </w:p>
    <w:p>
      <w:pPr>
        <w:spacing w:line="360" w:lineRule="auto"/>
        <w:jc w:val="both"/>
        <w:rPr>
          <w:rFonts w:cs="Times New Roman"/>
          <w:szCs w:val="24"/>
        </w:rPr>
      </w:pPr>
      <w:r>
        <w:rPr>
          <w:rFonts w:cs="Times New Roman"/>
          <w:szCs w:val="24"/>
        </w:rPr>
        <w:t>The ANOVA table was utilized by the researcher to assess the model's overall significance. P uses value to assess the overall model significance in this case. To accept the overall model, P values must be less than 0.05. Table 20 indicates that 0.000 is the significant value. As a result, the researcher can say with 95% confidence that the whole model is significant.</w:t>
      </w:r>
    </w:p>
    <w:p>
      <w:pPr>
        <w:spacing w:line="360" w:lineRule="auto"/>
        <w:jc w:val="both"/>
        <w:rPr>
          <w:rFonts w:cs="Times New Roman"/>
          <w:szCs w:val="24"/>
        </w:rPr>
      </w:pPr>
    </w:p>
    <w:p>
      <w:pPr>
        <w:pStyle w:val="9"/>
        <w:keepNext/>
        <w:tabs>
          <w:tab w:val="center" w:pos="4320"/>
        </w:tabs>
        <w:spacing w:line="360" w:lineRule="auto"/>
        <w:rPr>
          <w:rFonts w:cs="Times New Roman"/>
          <w:i w:val="0"/>
          <w:szCs w:val="24"/>
        </w:rPr>
      </w:pPr>
      <w:bookmarkStart w:id="86" w:name="_Toc122095185"/>
      <w:r>
        <w:rPr>
          <w:rFonts w:cs="Times New Roman"/>
          <w:i w:val="0"/>
          <w:szCs w:val="24"/>
        </w:rPr>
        <w:t>Table 18: Significant Values of overall model</w:t>
      </w:r>
      <w:bookmarkEnd w:id="86"/>
      <w:r>
        <w:rPr>
          <w:rFonts w:cs="Times New Roman"/>
          <w:i w:val="0"/>
          <w:szCs w:val="24"/>
        </w:rPr>
        <w:tab/>
      </w:r>
    </w:p>
    <w:tbl>
      <w:tblPr>
        <w:tblStyle w:val="25"/>
        <w:tblW w:w="80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7"/>
        <w:gridCol w:w="1433"/>
        <w:gridCol w:w="1413"/>
        <w:gridCol w:w="1015"/>
        <w:gridCol w:w="1396"/>
        <w:gridCol w:w="1015"/>
        <w:gridCol w:w="10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020" w:type="dxa"/>
            <w:gridSpan w:val="7"/>
            <w:tcBorders>
              <w:top w:val="single" w:color="auto" w:sz="4" w:space="0"/>
            </w:tcBorders>
            <w:shd w:val="clear" w:color="auto" w:fill="E7E6E6" w:themeFill="background2"/>
          </w:tcPr>
          <w:p>
            <w:pPr>
              <w:spacing w:line="360" w:lineRule="auto"/>
              <w:ind w:left="60" w:right="60"/>
              <w:jc w:val="both"/>
              <w:rPr>
                <w:rFonts w:cs="Times New Roman"/>
                <w:szCs w:val="24"/>
              </w:rPr>
            </w:pPr>
            <w:r>
              <w:rPr>
                <w:rFonts w:cs="Times New Roman"/>
                <w:b/>
                <w:bCs/>
                <w:szCs w:val="24"/>
              </w:rPr>
              <w:t>ANOVA</w:t>
            </w:r>
            <w:r>
              <w:rPr>
                <w:rFonts w:cs="Times New Roman"/>
                <w:b/>
                <w:bCs/>
                <w:szCs w:val="24"/>
                <w:vertAlign w:val="superscript"/>
              </w:rPr>
              <w:t>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160" w:type="dxa"/>
            <w:gridSpan w:val="2"/>
            <w:shd w:val="clear" w:color="auto" w:fill="E7E6E6" w:themeFill="background2"/>
          </w:tcPr>
          <w:p>
            <w:pPr>
              <w:spacing w:line="360" w:lineRule="auto"/>
              <w:ind w:left="60" w:right="60"/>
              <w:jc w:val="both"/>
              <w:rPr>
                <w:rFonts w:cs="Times New Roman"/>
                <w:szCs w:val="24"/>
              </w:rPr>
            </w:pPr>
            <w:r>
              <w:rPr>
                <w:rFonts w:cs="Times New Roman"/>
                <w:szCs w:val="24"/>
              </w:rPr>
              <w:t>Model</w:t>
            </w:r>
          </w:p>
        </w:tc>
        <w:tc>
          <w:tcPr>
            <w:tcW w:w="1413" w:type="dxa"/>
            <w:shd w:val="clear" w:color="auto" w:fill="E7E6E6" w:themeFill="background2"/>
          </w:tcPr>
          <w:p>
            <w:pPr>
              <w:spacing w:line="360" w:lineRule="auto"/>
              <w:ind w:left="60" w:right="60"/>
              <w:jc w:val="both"/>
              <w:rPr>
                <w:rFonts w:cs="Times New Roman"/>
                <w:szCs w:val="24"/>
              </w:rPr>
            </w:pPr>
            <w:r>
              <w:rPr>
                <w:rFonts w:cs="Times New Roman"/>
                <w:szCs w:val="24"/>
              </w:rPr>
              <w:t>Sum of Squares</w:t>
            </w:r>
          </w:p>
        </w:tc>
        <w:tc>
          <w:tcPr>
            <w:tcW w:w="1015" w:type="dxa"/>
            <w:shd w:val="clear" w:color="auto" w:fill="E7E6E6" w:themeFill="background2"/>
          </w:tcPr>
          <w:p>
            <w:pPr>
              <w:spacing w:line="360" w:lineRule="auto"/>
              <w:ind w:left="60" w:right="60"/>
              <w:jc w:val="both"/>
              <w:rPr>
                <w:rFonts w:cs="Times New Roman"/>
                <w:szCs w:val="24"/>
              </w:rPr>
            </w:pPr>
            <w:r>
              <w:rPr>
                <w:rFonts w:cs="Times New Roman"/>
                <w:szCs w:val="24"/>
              </w:rPr>
              <w:t>df</w:t>
            </w:r>
          </w:p>
        </w:tc>
        <w:tc>
          <w:tcPr>
            <w:tcW w:w="1396" w:type="dxa"/>
            <w:shd w:val="clear" w:color="auto" w:fill="E7E6E6" w:themeFill="background2"/>
          </w:tcPr>
          <w:p>
            <w:pPr>
              <w:spacing w:line="360" w:lineRule="auto"/>
              <w:ind w:left="60" w:right="60"/>
              <w:jc w:val="both"/>
              <w:rPr>
                <w:rFonts w:cs="Times New Roman"/>
                <w:szCs w:val="24"/>
              </w:rPr>
            </w:pPr>
            <w:r>
              <w:rPr>
                <w:rFonts w:cs="Times New Roman"/>
                <w:szCs w:val="24"/>
              </w:rPr>
              <w:t>Mean Square</w:t>
            </w:r>
          </w:p>
        </w:tc>
        <w:tc>
          <w:tcPr>
            <w:tcW w:w="1015" w:type="dxa"/>
            <w:shd w:val="clear" w:color="auto" w:fill="E7E6E6" w:themeFill="background2"/>
          </w:tcPr>
          <w:p>
            <w:pPr>
              <w:spacing w:line="360" w:lineRule="auto"/>
              <w:ind w:left="60" w:right="60"/>
              <w:jc w:val="both"/>
              <w:rPr>
                <w:rFonts w:cs="Times New Roman"/>
                <w:szCs w:val="24"/>
              </w:rPr>
            </w:pPr>
            <w:r>
              <w:rPr>
                <w:rFonts w:cs="Times New Roman"/>
                <w:szCs w:val="24"/>
              </w:rPr>
              <w:t>F</w:t>
            </w:r>
          </w:p>
        </w:tc>
        <w:tc>
          <w:tcPr>
            <w:tcW w:w="1021" w:type="dxa"/>
            <w:shd w:val="clear" w:color="auto" w:fill="E7E6E6" w:themeFill="background2"/>
          </w:tcPr>
          <w:p>
            <w:pPr>
              <w:spacing w:line="360" w:lineRule="auto"/>
              <w:ind w:left="60" w:right="60"/>
              <w:jc w:val="both"/>
              <w:rPr>
                <w:rFonts w:cs="Times New Roman"/>
                <w:szCs w:val="24"/>
              </w:rPr>
            </w:pPr>
            <w:r>
              <w:rPr>
                <w:rFonts w:cs="Times New Roman"/>
                <w:szCs w:val="24"/>
              </w:rPr>
              <w:t>Sig.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27" w:type="dxa"/>
            <w:vMerge w:val="restart"/>
          </w:tcPr>
          <w:p>
            <w:pPr>
              <w:spacing w:line="360" w:lineRule="auto"/>
              <w:ind w:left="60" w:right="60"/>
              <w:jc w:val="both"/>
              <w:rPr>
                <w:rFonts w:cs="Times New Roman"/>
                <w:szCs w:val="24"/>
              </w:rPr>
            </w:pPr>
          </w:p>
        </w:tc>
        <w:tc>
          <w:tcPr>
            <w:tcW w:w="1433" w:type="dxa"/>
          </w:tcPr>
          <w:p>
            <w:pPr>
              <w:spacing w:line="360" w:lineRule="auto"/>
              <w:ind w:left="60" w:right="60"/>
              <w:jc w:val="both"/>
              <w:rPr>
                <w:rFonts w:cs="Times New Roman"/>
                <w:szCs w:val="24"/>
              </w:rPr>
            </w:pPr>
            <w:r>
              <w:rPr>
                <w:rFonts w:cs="Times New Roman"/>
                <w:szCs w:val="24"/>
              </w:rPr>
              <w:t>Regression</w:t>
            </w:r>
          </w:p>
        </w:tc>
        <w:tc>
          <w:tcPr>
            <w:tcW w:w="1413" w:type="dxa"/>
          </w:tcPr>
          <w:p>
            <w:pPr>
              <w:spacing w:line="360" w:lineRule="auto"/>
              <w:ind w:left="60" w:right="60"/>
              <w:jc w:val="both"/>
              <w:rPr>
                <w:rFonts w:cs="Times New Roman"/>
                <w:szCs w:val="24"/>
              </w:rPr>
            </w:pPr>
            <w:r>
              <w:rPr>
                <w:rFonts w:cs="Times New Roman"/>
                <w:szCs w:val="24"/>
              </w:rPr>
              <w:t>73.918</w:t>
            </w:r>
          </w:p>
        </w:tc>
        <w:tc>
          <w:tcPr>
            <w:tcW w:w="1015" w:type="dxa"/>
          </w:tcPr>
          <w:p>
            <w:pPr>
              <w:spacing w:line="360" w:lineRule="auto"/>
              <w:ind w:left="60" w:right="60"/>
              <w:jc w:val="both"/>
              <w:rPr>
                <w:rFonts w:cs="Times New Roman"/>
                <w:szCs w:val="24"/>
              </w:rPr>
            </w:pPr>
            <w:r>
              <w:rPr>
                <w:rFonts w:cs="Times New Roman"/>
                <w:szCs w:val="24"/>
              </w:rPr>
              <w:t>3</w:t>
            </w:r>
          </w:p>
        </w:tc>
        <w:tc>
          <w:tcPr>
            <w:tcW w:w="1396" w:type="dxa"/>
          </w:tcPr>
          <w:p>
            <w:pPr>
              <w:spacing w:line="360" w:lineRule="auto"/>
              <w:ind w:left="60" w:right="60"/>
              <w:jc w:val="both"/>
              <w:rPr>
                <w:rFonts w:cs="Times New Roman"/>
                <w:szCs w:val="24"/>
              </w:rPr>
            </w:pPr>
            <w:r>
              <w:rPr>
                <w:rFonts w:cs="Times New Roman"/>
                <w:szCs w:val="24"/>
              </w:rPr>
              <w:t>24.639</w:t>
            </w:r>
          </w:p>
        </w:tc>
        <w:tc>
          <w:tcPr>
            <w:tcW w:w="1015" w:type="dxa"/>
          </w:tcPr>
          <w:p>
            <w:pPr>
              <w:spacing w:line="360" w:lineRule="auto"/>
              <w:ind w:left="60" w:right="60"/>
              <w:jc w:val="both"/>
              <w:rPr>
                <w:rFonts w:cs="Times New Roman"/>
                <w:szCs w:val="24"/>
              </w:rPr>
            </w:pPr>
            <w:r>
              <w:rPr>
                <w:rFonts w:cs="Times New Roman"/>
                <w:szCs w:val="24"/>
              </w:rPr>
              <w:t>81.260</w:t>
            </w:r>
          </w:p>
        </w:tc>
        <w:tc>
          <w:tcPr>
            <w:tcW w:w="1021" w:type="dxa"/>
          </w:tcPr>
          <w:p>
            <w:pPr>
              <w:spacing w:line="360" w:lineRule="auto"/>
              <w:ind w:left="60" w:right="60"/>
              <w:jc w:val="both"/>
              <w:rPr>
                <w:rFonts w:cs="Times New Roman"/>
                <w:szCs w:val="24"/>
              </w:rPr>
            </w:pPr>
            <w:r>
              <w:rPr>
                <w:rFonts w:cs="Times New Roman"/>
                <w:szCs w:val="24"/>
              </w:rPr>
              <w:t>.000</w:t>
            </w:r>
            <w:r>
              <w:rPr>
                <w:rFonts w:cs="Times New Roman"/>
                <w:szCs w:val="24"/>
                <w:vertAlign w:val="superscript"/>
              </w:rPr>
              <w:t>b</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27" w:type="dxa"/>
            <w:vMerge w:val="continue"/>
          </w:tcPr>
          <w:p>
            <w:pPr>
              <w:spacing w:line="360" w:lineRule="auto"/>
              <w:jc w:val="both"/>
              <w:rPr>
                <w:rFonts w:cs="Times New Roman"/>
                <w:szCs w:val="24"/>
              </w:rPr>
            </w:pPr>
          </w:p>
        </w:tc>
        <w:tc>
          <w:tcPr>
            <w:tcW w:w="1433" w:type="dxa"/>
            <w:tcBorders>
              <w:bottom w:val="single" w:color="auto" w:sz="4" w:space="0"/>
            </w:tcBorders>
          </w:tcPr>
          <w:p>
            <w:pPr>
              <w:spacing w:line="360" w:lineRule="auto"/>
              <w:ind w:left="60" w:right="60"/>
              <w:jc w:val="both"/>
              <w:rPr>
                <w:rFonts w:cs="Times New Roman"/>
                <w:szCs w:val="24"/>
              </w:rPr>
            </w:pPr>
            <w:r>
              <w:rPr>
                <w:rFonts w:cs="Times New Roman"/>
                <w:szCs w:val="24"/>
              </w:rPr>
              <w:t>Residual</w:t>
            </w:r>
          </w:p>
        </w:tc>
        <w:tc>
          <w:tcPr>
            <w:tcW w:w="1413" w:type="dxa"/>
            <w:tcBorders>
              <w:bottom w:val="single" w:color="auto" w:sz="4" w:space="0"/>
            </w:tcBorders>
          </w:tcPr>
          <w:p>
            <w:pPr>
              <w:spacing w:line="360" w:lineRule="auto"/>
              <w:ind w:left="60" w:right="60"/>
              <w:jc w:val="both"/>
              <w:rPr>
                <w:rFonts w:cs="Times New Roman"/>
                <w:szCs w:val="24"/>
              </w:rPr>
            </w:pPr>
            <w:r>
              <w:rPr>
                <w:rFonts w:cs="Times New Roman"/>
                <w:szCs w:val="24"/>
              </w:rPr>
              <w:t>74.591</w:t>
            </w:r>
          </w:p>
        </w:tc>
        <w:tc>
          <w:tcPr>
            <w:tcW w:w="1015" w:type="dxa"/>
            <w:tcBorders>
              <w:bottom w:val="single" w:color="auto" w:sz="4" w:space="0"/>
            </w:tcBorders>
          </w:tcPr>
          <w:p>
            <w:pPr>
              <w:spacing w:line="360" w:lineRule="auto"/>
              <w:ind w:left="60" w:right="60"/>
              <w:jc w:val="both"/>
              <w:rPr>
                <w:rFonts w:cs="Times New Roman"/>
                <w:szCs w:val="24"/>
              </w:rPr>
            </w:pPr>
            <w:r>
              <w:rPr>
                <w:rFonts w:cs="Times New Roman"/>
                <w:szCs w:val="24"/>
              </w:rPr>
              <w:t>246</w:t>
            </w:r>
          </w:p>
        </w:tc>
        <w:tc>
          <w:tcPr>
            <w:tcW w:w="1396" w:type="dxa"/>
            <w:tcBorders>
              <w:bottom w:val="single" w:color="auto" w:sz="4" w:space="0"/>
            </w:tcBorders>
          </w:tcPr>
          <w:p>
            <w:pPr>
              <w:spacing w:line="360" w:lineRule="auto"/>
              <w:ind w:left="60" w:right="60"/>
              <w:jc w:val="both"/>
              <w:rPr>
                <w:rFonts w:cs="Times New Roman"/>
                <w:szCs w:val="24"/>
              </w:rPr>
            </w:pPr>
            <w:r>
              <w:rPr>
                <w:rFonts w:cs="Times New Roman"/>
                <w:szCs w:val="24"/>
              </w:rPr>
              <w:t>.303</w:t>
            </w:r>
          </w:p>
        </w:tc>
        <w:tc>
          <w:tcPr>
            <w:tcW w:w="1015" w:type="dxa"/>
            <w:tcBorders>
              <w:bottom w:val="single" w:color="auto" w:sz="4" w:space="0"/>
            </w:tcBorders>
          </w:tcPr>
          <w:p>
            <w:pPr>
              <w:spacing w:line="360" w:lineRule="auto"/>
              <w:jc w:val="both"/>
              <w:rPr>
                <w:rFonts w:cs="Times New Roman"/>
                <w:szCs w:val="24"/>
              </w:rPr>
            </w:pPr>
          </w:p>
        </w:tc>
        <w:tc>
          <w:tcPr>
            <w:tcW w:w="1021" w:type="dxa"/>
            <w:tcBorders>
              <w:bottom w:val="single" w:color="auto" w:sz="4" w:space="0"/>
            </w:tcBorders>
          </w:tcPr>
          <w:p>
            <w:pPr>
              <w:spacing w:line="360" w:lineRule="auto"/>
              <w:jc w:val="both"/>
              <w:rPr>
                <w:rFonts w:cs="Times New Roman"/>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27" w:type="dxa"/>
            <w:vMerge w:val="continue"/>
          </w:tcPr>
          <w:p>
            <w:pPr>
              <w:spacing w:line="360" w:lineRule="auto"/>
              <w:jc w:val="both"/>
              <w:rPr>
                <w:rFonts w:cs="Times New Roman"/>
                <w:szCs w:val="24"/>
              </w:rPr>
            </w:pPr>
          </w:p>
        </w:tc>
        <w:tc>
          <w:tcPr>
            <w:tcW w:w="1433"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Total</w:t>
            </w:r>
          </w:p>
        </w:tc>
        <w:tc>
          <w:tcPr>
            <w:tcW w:w="1413"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148.508</w:t>
            </w:r>
          </w:p>
        </w:tc>
        <w:tc>
          <w:tcPr>
            <w:tcW w:w="1015"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249</w:t>
            </w:r>
          </w:p>
        </w:tc>
        <w:tc>
          <w:tcPr>
            <w:tcW w:w="1396" w:type="dxa"/>
            <w:tcBorders>
              <w:top w:val="single" w:color="auto" w:sz="4" w:space="0"/>
              <w:bottom w:val="single" w:color="auto" w:sz="4" w:space="0"/>
            </w:tcBorders>
          </w:tcPr>
          <w:p>
            <w:pPr>
              <w:spacing w:line="360" w:lineRule="auto"/>
              <w:jc w:val="both"/>
              <w:rPr>
                <w:rFonts w:cs="Times New Roman"/>
                <w:szCs w:val="24"/>
              </w:rPr>
            </w:pPr>
          </w:p>
        </w:tc>
        <w:tc>
          <w:tcPr>
            <w:tcW w:w="1015" w:type="dxa"/>
            <w:tcBorders>
              <w:top w:val="single" w:color="auto" w:sz="4" w:space="0"/>
              <w:bottom w:val="single" w:color="auto" w:sz="4" w:space="0"/>
            </w:tcBorders>
          </w:tcPr>
          <w:p>
            <w:pPr>
              <w:spacing w:line="360" w:lineRule="auto"/>
              <w:jc w:val="both"/>
              <w:rPr>
                <w:rFonts w:cs="Times New Roman"/>
                <w:szCs w:val="24"/>
              </w:rPr>
            </w:pPr>
          </w:p>
        </w:tc>
        <w:tc>
          <w:tcPr>
            <w:tcW w:w="1021" w:type="dxa"/>
            <w:tcBorders>
              <w:top w:val="single" w:color="auto" w:sz="4" w:space="0"/>
              <w:bottom w:val="single" w:color="auto" w:sz="4" w:space="0"/>
            </w:tcBorders>
          </w:tcPr>
          <w:p>
            <w:pPr>
              <w:spacing w:line="360" w:lineRule="auto"/>
              <w:jc w:val="both"/>
              <w:rPr>
                <w:rFonts w:cs="Times New Roman"/>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020" w:type="dxa"/>
            <w:gridSpan w:val="7"/>
          </w:tcPr>
          <w:p>
            <w:pPr>
              <w:spacing w:line="360" w:lineRule="auto"/>
              <w:ind w:left="60" w:right="60"/>
              <w:jc w:val="both"/>
              <w:rPr>
                <w:rFonts w:cs="Times New Roman"/>
                <w:szCs w:val="24"/>
              </w:rPr>
            </w:pPr>
            <w:r>
              <w:rPr>
                <w:rFonts w:cs="Times New Roman"/>
                <w:szCs w:val="24"/>
              </w:rPr>
              <w:t>a. Dependent Variable: Mean GMSME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020" w:type="dxa"/>
            <w:gridSpan w:val="7"/>
          </w:tcPr>
          <w:p>
            <w:pPr>
              <w:spacing w:line="360" w:lineRule="auto"/>
              <w:ind w:left="60" w:right="60"/>
              <w:jc w:val="both"/>
              <w:rPr>
                <w:rFonts w:cs="Times New Roman"/>
                <w:szCs w:val="24"/>
              </w:rPr>
            </w:pPr>
            <w:r>
              <w:rPr>
                <w:rFonts w:cs="Times New Roman"/>
                <w:szCs w:val="24"/>
              </w:rPr>
              <w:t>b. Predictors: (Constant), Mean MI, Mean MC, Mean MS</w:t>
            </w:r>
          </w:p>
        </w:tc>
      </w:tr>
    </w:tbl>
    <w:p>
      <w:pPr>
        <w:spacing w:line="360" w:lineRule="auto"/>
        <w:ind w:left="4320" w:firstLine="720"/>
        <w:jc w:val="both"/>
        <w:rPr>
          <w:rFonts w:cs="Times New Roman"/>
          <w:i/>
          <w:iCs/>
          <w:color w:val="000000" w:themeColor="text1"/>
          <w:sz w:val="22"/>
          <w:szCs w:val="22"/>
          <w14:textFill>
            <w14:solidFill>
              <w14:schemeClr w14:val="tx1"/>
            </w14:solidFill>
          </w14:textFill>
        </w:rPr>
      </w:pPr>
      <w:r>
        <w:rPr>
          <w:rFonts w:cs="Times New Roman"/>
          <w:i/>
          <w:iCs/>
          <w:color w:val="000000" w:themeColor="text1"/>
          <w:sz w:val="22"/>
          <w:szCs w:val="22"/>
          <w14:textFill>
            <w14:solidFill>
              <w14:schemeClr w14:val="tx1"/>
            </w14:solidFill>
          </w14:textFill>
        </w:rPr>
        <w:t>Source: survey data</w:t>
      </w:r>
    </w:p>
    <w:p>
      <w:pPr>
        <w:pStyle w:val="8"/>
        <w:spacing w:line="360" w:lineRule="auto"/>
      </w:pPr>
    </w:p>
    <w:p>
      <w:pPr>
        <w:pStyle w:val="4"/>
        <w:numPr>
          <w:ilvl w:val="0"/>
          <w:numId w:val="0"/>
        </w:numPr>
        <w:spacing w:line="360" w:lineRule="auto"/>
        <w:ind w:left="720" w:hanging="720"/>
        <w:rPr>
          <w:rFonts w:cs="Times New Roman"/>
          <w:b w:val="0"/>
          <w:bCs/>
          <w:i/>
          <w:iCs/>
        </w:rPr>
      </w:pPr>
      <w:bookmarkStart w:id="87" w:name="_Toc141559003"/>
      <w:bookmarkStart w:id="88" w:name="_Toc125922305"/>
      <w:r>
        <w:rPr>
          <w:rFonts w:cs="Times New Roman"/>
          <w:b w:val="0"/>
          <w:bCs/>
          <w:i/>
          <w:iCs/>
        </w:rPr>
        <w:t>Coefficient</w:t>
      </w:r>
      <w:bookmarkEnd w:id="87"/>
      <w:bookmarkEnd w:id="88"/>
    </w:p>
    <w:p>
      <w:pPr>
        <w:pStyle w:val="8"/>
        <w:spacing w:line="360" w:lineRule="auto"/>
      </w:pPr>
    </w:p>
    <w:p>
      <w:pPr>
        <w:spacing w:line="360" w:lineRule="auto"/>
        <w:jc w:val="both"/>
        <w:rPr>
          <w:rFonts w:cs="Times New Roman"/>
          <w:szCs w:val="24"/>
        </w:rPr>
      </w:pPr>
      <w:r>
        <w:rPr>
          <w:rFonts w:cs="Times New Roman"/>
          <w:szCs w:val="24"/>
        </w:rPr>
        <w:t>The path coefficients of the inner model will be significant using a two-tailed t-test with a significance threshold of 5% if the T-statistics value is higher than 1.96 (T-value &gt; 1.96). The P value of the hypothesis must be less than 0.05 (p value 0.05) at the 95% confidence level in order to evaluate whether or not it is supported. The hypothesis' coefficient statistics are shown in table 19 below.</w:t>
      </w:r>
      <w:bookmarkStart w:id="89" w:name="_Toc122095186"/>
    </w:p>
    <w:p>
      <w:pPr>
        <w:spacing w:line="360" w:lineRule="auto"/>
        <w:jc w:val="both"/>
        <w:rPr>
          <w:rFonts w:cs="Times New Roman"/>
          <w:szCs w:val="24"/>
        </w:rPr>
      </w:pPr>
    </w:p>
    <w:p>
      <w:pPr>
        <w:pStyle w:val="9"/>
        <w:keepNext/>
        <w:spacing w:line="360" w:lineRule="auto"/>
        <w:rPr>
          <w:rFonts w:cs="Times New Roman"/>
          <w:i w:val="0"/>
          <w:szCs w:val="24"/>
        </w:rPr>
      </w:pPr>
      <w:r>
        <w:rPr>
          <w:rFonts w:cs="Times New Roman"/>
          <w:i w:val="0"/>
          <w:szCs w:val="24"/>
        </w:rPr>
        <w:t>Table 19: Coefficients Statistics</w:t>
      </w:r>
      <w:bookmarkEnd w:id="89"/>
    </w:p>
    <w:tbl>
      <w:tblPr>
        <w:tblStyle w:val="25"/>
        <w:tblW w:w="8010"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50"/>
        <w:gridCol w:w="1410"/>
        <w:gridCol w:w="1163"/>
        <w:gridCol w:w="1367"/>
        <w:gridCol w:w="1610"/>
        <w:gridCol w:w="900"/>
        <w:gridCol w:w="810"/>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 w:hRule="atLeast"/>
        </w:trPr>
        <w:tc>
          <w:tcPr>
            <w:tcW w:w="8010" w:type="dxa"/>
            <w:gridSpan w:val="7"/>
            <w:shd w:val="clear" w:color="auto" w:fill="E7E6E6" w:themeFill="background2"/>
          </w:tcPr>
          <w:p>
            <w:pPr>
              <w:spacing w:line="360" w:lineRule="auto"/>
              <w:ind w:left="60" w:right="60"/>
              <w:jc w:val="both"/>
              <w:rPr>
                <w:rFonts w:cs="Times New Roman"/>
                <w:szCs w:val="24"/>
              </w:rPr>
            </w:pPr>
            <w:r>
              <w:rPr>
                <w:rFonts w:cs="Times New Roman"/>
                <w:b/>
                <w:bCs/>
                <w:szCs w:val="24"/>
              </w:rPr>
              <w:t>Coefficients</w:t>
            </w:r>
            <w:r>
              <w:rPr>
                <w:rFonts w:cs="Times New Roman"/>
                <w:b/>
                <w:bCs/>
                <w:szCs w:val="24"/>
                <w:vertAlign w:val="superscript"/>
              </w:rPr>
              <w:t>a</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2160" w:type="dxa"/>
            <w:gridSpan w:val="2"/>
            <w:vMerge w:val="restart"/>
            <w:shd w:val="clear" w:color="auto" w:fill="E7E6E6" w:themeFill="background2"/>
          </w:tcPr>
          <w:p>
            <w:pPr>
              <w:spacing w:line="360" w:lineRule="auto"/>
              <w:ind w:left="60" w:right="60"/>
              <w:jc w:val="both"/>
              <w:rPr>
                <w:rFonts w:cs="Times New Roman"/>
                <w:szCs w:val="24"/>
              </w:rPr>
            </w:pPr>
            <w:r>
              <w:rPr>
                <w:rFonts w:cs="Times New Roman"/>
                <w:szCs w:val="24"/>
              </w:rPr>
              <w:t>Model</w:t>
            </w:r>
          </w:p>
        </w:tc>
        <w:tc>
          <w:tcPr>
            <w:tcW w:w="2530" w:type="dxa"/>
            <w:gridSpan w:val="2"/>
            <w:shd w:val="clear" w:color="auto" w:fill="E7E6E6" w:themeFill="background2"/>
          </w:tcPr>
          <w:p>
            <w:pPr>
              <w:spacing w:line="360" w:lineRule="auto"/>
              <w:ind w:left="60" w:right="60"/>
              <w:jc w:val="both"/>
              <w:rPr>
                <w:rFonts w:cs="Times New Roman"/>
                <w:szCs w:val="24"/>
              </w:rPr>
            </w:pPr>
            <w:r>
              <w:rPr>
                <w:rFonts w:cs="Times New Roman"/>
                <w:szCs w:val="24"/>
              </w:rPr>
              <w:t>Unstandardized Coefficients</w:t>
            </w:r>
          </w:p>
        </w:tc>
        <w:tc>
          <w:tcPr>
            <w:tcW w:w="1610" w:type="dxa"/>
            <w:shd w:val="clear" w:color="auto" w:fill="E7E6E6" w:themeFill="background2"/>
          </w:tcPr>
          <w:p>
            <w:pPr>
              <w:spacing w:line="360" w:lineRule="auto"/>
              <w:ind w:left="60" w:right="60"/>
              <w:jc w:val="both"/>
              <w:rPr>
                <w:rFonts w:cs="Times New Roman"/>
                <w:szCs w:val="24"/>
              </w:rPr>
            </w:pPr>
            <w:r>
              <w:rPr>
                <w:rFonts w:cs="Times New Roman"/>
                <w:szCs w:val="24"/>
              </w:rPr>
              <w:t>Standardized Coefficients</w:t>
            </w:r>
          </w:p>
        </w:tc>
        <w:tc>
          <w:tcPr>
            <w:tcW w:w="900" w:type="dxa"/>
            <w:vMerge w:val="restart"/>
            <w:shd w:val="clear" w:color="auto" w:fill="E7E6E6" w:themeFill="background2"/>
          </w:tcPr>
          <w:p>
            <w:pPr>
              <w:spacing w:line="360" w:lineRule="auto"/>
              <w:ind w:left="60" w:right="60"/>
              <w:jc w:val="both"/>
              <w:rPr>
                <w:rFonts w:cs="Times New Roman"/>
                <w:szCs w:val="24"/>
              </w:rPr>
            </w:pPr>
            <w:r>
              <w:rPr>
                <w:rFonts w:cs="Times New Roman"/>
                <w:szCs w:val="24"/>
              </w:rPr>
              <w:t>T</w:t>
            </w:r>
          </w:p>
        </w:tc>
        <w:tc>
          <w:tcPr>
            <w:tcW w:w="810" w:type="dxa"/>
            <w:vMerge w:val="restart"/>
            <w:shd w:val="clear" w:color="auto" w:fill="E7E6E6" w:themeFill="background2"/>
          </w:tcPr>
          <w:p>
            <w:pPr>
              <w:spacing w:line="360" w:lineRule="auto"/>
              <w:ind w:left="60" w:right="60"/>
              <w:jc w:val="both"/>
              <w:rPr>
                <w:rFonts w:cs="Times New Roman"/>
                <w:szCs w:val="24"/>
              </w:rPr>
            </w:pPr>
            <w:r>
              <w:rPr>
                <w:rFonts w:cs="Times New Roman"/>
                <w:szCs w:val="24"/>
              </w:rPr>
              <w:t>Sig.</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 w:hRule="atLeast"/>
        </w:trPr>
        <w:tc>
          <w:tcPr>
            <w:tcW w:w="2160" w:type="dxa"/>
            <w:gridSpan w:val="2"/>
            <w:vMerge w:val="continue"/>
          </w:tcPr>
          <w:p>
            <w:pPr>
              <w:spacing w:line="360" w:lineRule="auto"/>
              <w:jc w:val="both"/>
              <w:rPr>
                <w:rFonts w:cs="Times New Roman"/>
                <w:szCs w:val="24"/>
              </w:rPr>
            </w:pPr>
          </w:p>
        </w:tc>
        <w:tc>
          <w:tcPr>
            <w:tcW w:w="1163" w:type="dxa"/>
            <w:shd w:val="clear" w:color="auto" w:fill="E7E6E6" w:themeFill="background2"/>
          </w:tcPr>
          <w:p>
            <w:pPr>
              <w:spacing w:line="360" w:lineRule="auto"/>
              <w:ind w:left="60" w:right="60"/>
              <w:jc w:val="both"/>
              <w:rPr>
                <w:rFonts w:cs="Times New Roman"/>
                <w:szCs w:val="24"/>
              </w:rPr>
            </w:pPr>
            <w:r>
              <w:rPr>
                <w:rFonts w:cs="Times New Roman"/>
                <w:szCs w:val="24"/>
              </w:rPr>
              <w:t>B</w:t>
            </w:r>
          </w:p>
        </w:tc>
        <w:tc>
          <w:tcPr>
            <w:tcW w:w="1367" w:type="dxa"/>
            <w:shd w:val="clear" w:color="auto" w:fill="E7E6E6" w:themeFill="background2"/>
          </w:tcPr>
          <w:p>
            <w:pPr>
              <w:spacing w:line="360" w:lineRule="auto"/>
              <w:ind w:left="60" w:right="60"/>
              <w:jc w:val="both"/>
              <w:rPr>
                <w:rFonts w:cs="Times New Roman"/>
                <w:szCs w:val="24"/>
              </w:rPr>
            </w:pPr>
            <w:r>
              <w:rPr>
                <w:rFonts w:cs="Times New Roman"/>
                <w:szCs w:val="24"/>
              </w:rPr>
              <w:t>Std. Error</w:t>
            </w:r>
          </w:p>
        </w:tc>
        <w:tc>
          <w:tcPr>
            <w:tcW w:w="1610" w:type="dxa"/>
            <w:shd w:val="clear" w:color="auto" w:fill="E7E6E6" w:themeFill="background2"/>
          </w:tcPr>
          <w:p>
            <w:pPr>
              <w:spacing w:line="360" w:lineRule="auto"/>
              <w:ind w:left="60" w:right="60"/>
              <w:jc w:val="both"/>
              <w:rPr>
                <w:rFonts w:cs="Times New Roman"/>
                <w:szCs w:val="24"/>
              </w:rPr>
            </w:pPr>
            <w:r>
              <w:rPr>
                <w:rFonts w:cs="Times New Roman"/>
                <w:szCs w:val="24"/>
              </w:rPr>
              <w:t>Beta</w:t>
            </w:r>
          </w:p>
        </w:tc>
        <w:tc>
          <w:tcPr>
            <w:tcW w:w="900" w:type="dxa"/>
            <w:vMerge w:val="continue"/>
          </w:tcPr>
          <w:p>
            <w:pPr>
              <w:spacing w:line="360" w:lineRule="auto"/>
              <w:jc w:val="both"/>
              <w:rPr>
                <w:rFonts w:cs="Times New Roman"/>
                <w:szCs w:val="24"/>
              </w:rPr>
            </w:pPr>
          </w:p>
        </w:tc>
        <w:tc>
          <w:tcPr>
            <w:tcW w:w="810" w:type="dxa"/>
            <w:vMerge w:val="continue"/>
          </w:tcPr>
          <w:p>
            <w:pPr>
              <w:spacing w:line="360" w:lineRule="auto"/>
              <w:jc w:val="both"/>
              <w:rPr>
                <w:rFonts w:cs="Times New Roman"/>
                <w:szCs w:val="24"/>
              </w:rPr>
            </w:pP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 w:hRule="atLeast"/>
        </w:trPr>
        <w:tc>
          <w:tcPr>
            <w:tcW w:w="750" w:type="dxa"/>
            <w:vMerge w:val="restart"/>
          </w:tcPr>
          <w:p>
            <w:pPr>
              <w:spacing w:line="360" w:lineRule="auto"/>
              <w:ind w:left="60" w:right="60"/>
              <w:jc w:val="both"/>
              <w:rPr>
                <w:rFonts w:cs="Times New Roman"/>
                <w:szCs w:val="24"/>
              </w:rPr>
            </w:pPr>
            <w:r>
              <w:rPr>
                <w:rFonts w:cs="Times New Roman"/>
                <w:szCs w:val="24"/>
              </w:rPr>
              <w:t>1</w:t>
            </w:r>
          </w:p>
        </w:tc>
        <w:tc>
          <w:tcPr>
            <w:tcW w:w="1410" w:type="dxa"/>
          </w:tcPr>
          <w:p>
            <w:pPr>
              <w:spacing w:line="360" w:lineRule="auto"/>
              <w:ind w:left="60" w:right="60"/>
              <w:jc w:val="both"/>
              <w:rPr>
                <w:rFonts w:cs="Times New Roman"/>
                <w:szCs w:val="24"/>
              </w:rPr>
            </w:pPr>
            <w:r>
              <w:rPr>
                <w:rFonts w:cs="Times New Roman"/>
                <w:szCs w:val="24"/>
              </w:rPr>
              <w:t>(Constant)</w:t>
            </w:r>
          </w:p>
        </w:tc>
        <w:tc>
          <w:tcPr>
            <w:tcW w:w="1163" w:type="dxa"/>
          </w:tcPr>
          <w:p>
            <w:pPr>
              <w:spacing w:line="360" w:lineRule="auto"/>
              <w:ind w:left="60" w:right="60"/>
              <w:jc w:val="both"/>
              <w:rPr>
                <w:rFonts w:cs="Times New Roman"/>
                <w:szCs w:val="24"/>
              </w:rPr>
            </w:pPr>
            <w:r>
              <w:rPr>
                <w:rFonts w:cs="Times New Roman"/>
                <w:szCs w:val="24"/>
              </w:rPr>
              <w:t>.258</w:t>
            </w:r>
          </w:p>
        </w:tc>
        <w:tc>
          <w:tcPr>
            <w:tcW w:w="1367" w:type="dxa"/>
          </w:tcPr>
          <w:p>
            <w:pPr>
              <w:spacing w:line="360" w:lineRule="auto"/>
              <w:ind w:left="60" w:right="60"/>
              <w:jc w:val="both"/>
              <w:rPr>
                <w:rFonts w:cs="Times New Roman"/>
                <w:szCs w:val="24"/>
              </w:rPr>
            </w:pPr>
            <w:r>
              <w:rPr>
                <w:rFonts w:cs="Times New Roman"/>
                <w:szCs w:val="24"/>
              </w:rPr>
              <w:t>.265</w:t>
            </w:r>
          </w:p>
        </w:tc>
        <w:tc>
          <w:tcPr>
            <w:tcW w:w="1610" w:type="dxa"/>
          </w:tcPr>
          <w:p>
            <w:pPr>
              <w:spacing w:line="360" w:lineRule="auto"/>
              <w:jc w:val="both"/>
              <w:rPr>
                <w:rFonts w:cs="Times New Roman"/>
                <w:szCs w:val="24"/>
              </w:rPr>
            </w:pPr>
          </w:p>
        </w:tc>
        <w:tc>
          <w:tcPr>
            <w:tcW w:w="900" w:type="dxa"/>
          </w:tcPr>
          <w:p>
            <w:pPr>
              <w:spacing w:line="360" w:lineRule="auto"/>
              <w:ind w:left="60" w:right="60"/>
              <w:jc w:val="both"/>
              <w:rPr>
                <w:rFonts w:cs="Times New Roman"/>
                <w:szCs w:val="24"/>
              </w:rPr>
            </w:pPr>
            <w:r>
              <w:rPr>
                <w:rFonts w:cs="Times New Roman"/>
                <w:szCs w:val="24"/>
              </w:rPr>
              <w:t>.975</w:t>
            </w:r>
          </w:p>
        </w:tc>
        <w:tc>
          <w:tcPr>
            <w:tcW w:w="810" w:type="dxa"/>
          </w:tcPr>
          <w:p>
            <w:pPr>
              <w:spacing w:line="360" w:lineRule="auto"/>
              <w:ind w:left="60" w:right="60"/>
              <w:jc w:val="both"/>
              <w:rPr>
                <w:rFonts w:cs="Times New Roman"/>
                <w:szCs w:val="24"/>
              </w:rPr>
            </w:pPr>
            <w:r>
              <w:rPr>
                <w:rFonts w:cs="Times New Roman"/>
                <w:szCs w:val="24"/>
              </w:rPr>
              <w:t>.330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750" w:type="dxa"/>
            <w:vMerge w:val="continue"/>
          </w:tcPr>
          <w:p>
            <w:pPr>
              <w:spacing w:line="360" w:lineRule="auto"/>
              <w:jc w:val="both"/>
              <w:rPr>
                <w:rFonts w:cs="Times New Roman"/>
                <w:szCs w:val="24"/>
              </w:rPr>
            </w:pPr>
          </w:p>
        </w:tc>
        <w:tc>
          <w:tcPr>
            <w:tcW w:w="1410" w:type="dxa"/>
          </w:tcPr>
          <w:p>
            <w:pPr>
              <w:spacing w:line="360" w:lineRule="auto"/>
              <w:ind w:left="60" w:right="60"/>
              <w:jc w:val="both"/>
              <w:rPr>
                <w:rFonts w:cs="Times New Roman"/>
                <w:szCs w:val="24"/>
              </w:rPr>
            </w:pPr>
            <w:r>
              <w:rPr>
                <w:rFonts w:cs="Times New Roman"/>
                <w:szCs w:val="24"/>
              </w:rPr>
              <w:t>Mean MC</w:t>
            </w:r>
          </w:p>
        </w:tc>
        <w:tc>
          <w:tcPr>
            <w:tcW w:w="1163" w:type="dxa"/>
          </w:tcPr>
          <w:p>
            <w:pPr>
              <w:spacing w:line="360" w:lineRule="auto"/>
              <w:ind w:left="60" w:right="60"/>
              <w:jc w:val="both"/>
              <w:rPr>
                <w:rFonts w:cs="Times New Roman"/>
                <w:szCs w:val="24"/>
              </w:rPr>
            </w:pPr>
            <w:r>
              <w:rPr>
                <w:rFonts w:cs="Times New Roman"/>
                <w:szCs w:val="24"/>
              </w:rPr>
              <w:t>.331</w:t>
            </w:r>
          </w:p>
        </w:tc>
        <w:tc>
          <w:tcPr>
            <w:tcW w:w="1367" w:type="dxa"/>
          </w:tcPr>
          <w:p>
            <w:pPr>
              <w:spacing w:line="360" w:lineRule="auto"/>
              <w:ind w:left="60" w:right="60"/>
              <w:jc w:val="both"/>
              <w:rPr>
                <w:rFonts w:cs="Times New Roman"/>
                <w:szCs w:val="24"/>
              </w:rPr>
            </w:pPr>
            <w:r>
              <w:rPr>
                <w:rFonts w:cs="Times New Roman"/>
                <w:szCs w:val="24"/>
              </w:rPr>
              <w:t>.076</w:t>
            </w:r>
          </w:p>
        </w:tc>
        <w:tc>
          <w:tcPr>
            <w:tcW w:w="1610" w:type="dxa"/>
          </w:tcPr>
          <w:p>
            <w:pPr>
              <w:spacing w:line="360" w:lineRule="auto"/>
              <w:ind w:left="60" w:right="60"/>
              <w:jc w:val="both"/>
              <w:rPr>
                <w:rFonts w:cs="Times New Roman"/>
                <w:szCs w:val="24"/>
              </w:rPr>
            </w:pPr>
            <w:r>
              <w:rPr>
                <w:rFonts w:cs="Times New Roman"/>
                <w:szCs w:val="24"/>
              </w:rPr>
              <w:t>.274</w:t>
            </w:r>
          </w:p>
        </w:tc>
        <w:tc>
          <w:tcPr>
            <w:tcW w:w="900" w:type="dxa"/>
          </w:tcPr>
          <w:p>
            <w:pPr>
              <w:spacing w:line="360" w:lineRule="auto"/>
              <w:ind w:left="60" w:right="60"/>
              <w:jc w:val="both"/>
              <w:rPr>
                <w:rFonts w:cs="Times New Roman"/>
                <w:szCs w:val="24"/>
              </w:rPr>
            </w:pPr>
            <w:r>
              <w:rPr>
                <w:rFonts w:cs="Times New Roman"/>
                <w:szCs w:val="24"/>
              </w:rPr>
              <w:t>4.355</w:t>
            </w:r>
          </w:p>
        </w:tc>
        <w:tc>
          <w:tcPr>
            <w:tcW w:w="810" w:type="dxa"/>
          </w:tcPr>
          <w:p>
            <w:pPr>
              <w:spacing w:line="360" w:lineRule="auto"/>
              <w:ind w:left="60" w:right="60"/>
              <w:jc w:val="both"/>
              <w:rPr>
                <w:rFonts w:cs="Times New Roman"/>
                <w:szCs w:val="24"/>
              </w:rPr>
            </w:pPr>
            <w:r>
              <w:rPr>
                <w:rFonts w:cs="Times New Roman"/>
                <w:szCs w:val="24"/>
              </w:rPr>
              <w:t>.000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750" w:type="dxa"/>
            <w:vMerge w:val="continue"/>
          </w:tcPr>
          <w:p>
            <w:pPr>
              <w:spacing w:line="360" w:lineRule="auto"/>
              <w:jc w:val="both"/>
              <w:rPr>
                <w:rFonts w:cs="Times New Roman"/>
                <w:szCs w:val="24"/>
              </w:rPr>
            </w:pPr>
          </w:p>
        </w:tc>
        <w:tc>
          <w:tcPr>
            <w:tcW w:w="1410" w:type="dxa"/>
            <w:tcBorders>
              <w:bottom w:val="single" w:color="auto" w:sz="4" w:space="0"/>
            </w:tcBorders>
          </w:tcPr>
          <w:p>
            <w:pPr>
              <w:spacing w:line="360" w:lineRule="auto"/>
              <w:ind w:left="60" w:right="60"/>
              <w:jc w:val="both"/>
              <w:rPr>
                <w:rFonts w:cs="Times New Roman"/>
                <w:szCs w:val="24"/>
              </w:rPr>
            </w:pPr>
            <w:r>
              <w:rPr>
                <w:rFonts w:cs="Times New Roman"/>
                <w:szCs w:val="24"/>
              </w:rPr>
              <w:t>Mean MS</w:t>
            </w:r>
          </w:p>
        </w:tc>
        <w:tc>
          <w:tcPr>
            <w:tcW w:w="1163" w:type="dxa"/>
            <w:tcBorders>
              <w:bottom w:val="single" w:color="auto" w:sz="4" w:space="0"/>
            </w:tcBorders>
          </w:tcPr>
          <w:p>
            <w:pPr>
              <w:spacing w:line="360" w:lineRule="auto"/>
              <w:ind w:left="60" w:right="60"/>
              <w:jc w:val="both"/>
              <w:rPr>
                <w:rFonts w:cs="Times New Roman"/>
                <w:szCs w:val="24"/>
              </w:rPr>
            </w:pPr>
            <w:r>
              <w:rPr>
                <w:rFonts w:cs="Times New Roman"/>
                <w:szCs w:val="24"/>
              </w:rPr>
              <w:t>.464</w:t>
            </w:r>
          </w:p>
        </w:tc>
        <w:tc>
          <w:tcPr>
            <w:tcW w:w="1367" w:type="dxa"/>
            <w:tcBorders>
              <w:bottom w:val="single" w:color="auto" w:sz="4" w:space="0"/>
            </w:tcBorders>
          </w:tcPr>
          <w:p>
            <w:pPr>
              <w:spacing w:line="360" w:lineRule="auto"/>
              <w:ind w:left="60" w:right="60"/>
              <w:jc w:val="both"/>
              <w:rPr>
                <w:rFonts w:cs="Times New Roman"/>
                <w:szCs w:val="24"/>
              </w:rPr>
            </w:pPr>
            <w:r>
              <w:rPr>
                <w:rFonts w:cs="Times New Roman"/>
                <w:szCs w:val="24"/>
              </w:rPr>
              <w:t>.082</w:t>
            </w:r>
          </w:p>
        </w:tc>
        <w:tc>
          <w:tcPr>
            <w:tcW w:w="1610" w:type="dxa"/>
            <w:tcBorders>
              <w:bottom w:val="single" w:color="auto" w:sz="4" w:space="0"/>
            </w:tcBorders>
          </w:tcPr>
          <w:p>
            <w:pPr>
              <w:spacing w:line="360" w:lineRule="auto"/>
              <w:ind w:left="60" w:right="60"/>
              <w:jc w:val="both"/>
              <w:rPr>
                <w:rFonts w:cs="Times New Roman"/>
                <w:szCs w:val="24"/>
              </w:rPr>
            </w:pPr>
            <w:r>
              <w:rPr>
                <w:rFonts w:cs="Times New Roman"/>
                <w:szCs w:val="24"/>
              </w:rPr>
              <w:t>.398</w:t>
            </w:r>
          </w:p>
        </w:tc>
        <w:tc>
          <w:tcPr>
            <w:tcW w:w="900" w:type="dxa"/>
            <w:tcBorders>
              <w:bottom w:val="single" w:color="auto" w:sz="4" w:space="0"/>
            </w:tcBorders>
          </w:tcPr>
          <w:p>
            <w:pPr>
              <w:spacing w:line="360" w:lineRule="auto"/>
              <w:ind w:left="60" w:right="60"/>
              <w:jc w:val="both"/>
              <w:rPr>
                <w:rFonts w:cs="Times New Roman"/>
                <w:szCs w:val="24"/>
              </w:rPr>
            </w:pPr>
            <w:r>
              <w:rPr>
                <w:rFonts w:cs="Times New Roman"/>
                <w:szCs w:val="24"/>
              </w:rPr>
              <w:t>5.655</w:t>
            </w:r>
          </w:p>
        </w:tc>
        <w:tc>
          <w:tcPr>
            <w:tcW w:w="810" w:type="dxa"/>
            <w:tcBorders>
              <w:bottom w:val="single" w:color="auto" w:sz="4" w:space="0"/>
            </w:tcBorders>
          </w:tcPr>
          <w:p>
            <w:pPr>
              <w:spacing w:line="360" w:lineRule="auto"/>
              <w:ind w:left="60" w:right="60"/>
              <w:jc w:val="both"/>
              <w:rPr>
                <w:rFonts w:cs="Times New Roman"/>
                <w:szCs w:val="24"/>
              </w:rPr>
            </w:pPr>
            <w:r>
              <w:rPr>
                <w:rFonts w:cs="Times New Roman"/>
                <w:szCs w:val="24"/>
              </w:rPr>
              <w:t>.000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750" w:type="dxa"/>
            <w:vMerge w:val="continue"/>
          </w:tcPr>
          <w:p>
            <w:pPr>
              <w:spacing w:line="360" w:lineRule="auto"/>
              <w:jc w:val="both"/>
              <w:rPr>
                <w:rFonts w:cs="Times New Roman"/>
                <w:szCs w:val="24"/>
              </w:rPr>
            </w:pPr>
          </w:p>
        </w:tc>
        <w:tc>
          <w:tcPr>
            <w:tcW w:w="1410"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Mean MI</w:t>
            </w:r>
          </w:p>
        </w:tc>
        <w:tc>
          <w:tcPr>
            <w:tcW w:w="1163"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.147</w:t>
            </w:r>
          </w:p>
        </w:tc>
        <w:tc>
          <w:tcPr>
            <w:tcW w:w="1367"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.079</w:t>
            </w:r>
          </w:p>
        </w:tc>
        <w:tc>
          <w:tcPr>
            <w:tcW w:w="1610"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.119</w:t>
            </w:r>
          </w:p>
        </w:tc>
        <w:tc>
          <w:tcPr>
            <w:tcW w:w="900"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1.851</w:t>
            </w:r>
          </w:p>
        </w:tc>
        <w:tc>
          <w:tcPr>
            <w:tcW w:w="810" w:type="dxa"/>
            <w:tcBorders>
              <w:top w:val="single" w:color="auto" w:sz="4" w:space="0"/>
              <w:bottom w:val="single" w:color="auto" w:sz="4" w:space="0"/>
            </w:tcBorders>
          </w:tcPr>
          <w:p>
            <w:pPr>
              <w:spacing w:line="360" w:lineRule="auto"/>
              <w:ind w:left="60" w:right="60"/>
              <w:jc w:val="both"/>
              <w:rPr>
                <w:rFonts w:cs="Times New Roman"/>
                <w:szCs w:val="24"/>
              </w:rPr>
            </w:pPr>
            <w:r>
              <w:rPr>
                <w:rFonts w:cs="Times New Roman"/>
                <w:szCs w:val="24"/>
              </w:rPr>
              <w:t>.065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 w:hRule="atLeast"/>
        </w:trPr>
        <w:tc>
          <w:tcPr>
            <w:tcW w:w="8010" w:type="dxa"/>
            <w:gridSpan w:val="7"/>
          </w:tcPr>
          <w:p>
            <w:pPr>
              <w:spacing w:line="360" w:lineRule="auto"/>
              <w:ind w:left="60" w:right="60"/>
              <w:jc w:val="both"/>
              <w:rPr>
                <w:rFonts w:cs="Times New Roman"/>
                <w:szCs w:val="24"/>
              </w:rPr>
            </w:pPr>
            <w:r>
              <w:rPr>
                <w:rFonts w:cs="Times New Roman"/>
                <w:szCs w:val="24"/>
              </w:rPr>
              <w:t>a. Dependent Variable: Mean GMSME</w:t>
            </w:r>
          </w:p>
        </w:tc>
      </w:tr>
    </w:tbl>
    <w:p>
      <w:pPr>
        <w:spacing w:line="360" w:lineRule="auto"/>
        <w:ind w:left="4320" w:firstLine="720"/>
        <w:jc w:val="both"/>
        <w:rPr>
          <w:rFonts w:cs="Times New Roman"/>
          <w:i/>
          <w:iCs/>
          <w:color w:val="000000" w:themeColor="text1"/>
          <w:sz w:val="22"/>
          <w:szCs w:val="22"/>
          <w14:textFill>
            <w14:solidFill>
              <w14:schemeClr w14:val="tx1"/>
            </w14:solidFill>
          </w14:textFill>
        </w:rPr>
      </w:pPr>
      <w:r>
        <w:rPr>
          <w:rFonts w:cs="Times New Roman"/>
          <w:i/>
          <w:iCs/>
          <w:color w:val="000000" w:themeColor="text1"/>
          <w:sz w:val="22"/>
          <w:szCs w:val="22"/>
          <w14:textFill>
            <w14:solidFill>
              <w14:schemeClr w14:val="tx1"/>
            </w14:solidFill>
          </w14:textFill>
        </w:rPr>
        <w:t>Source: survey data</w:t>
      </w:r>
    </w:p>
    <w:p>
      <w:pPr>
        <w:spacing w:line="360" w:lineRule="auto"/>
        <w:jc w:val="both"/>
        <w:rPr>
          <w:rFonts w:cs="Times New Roman"/>
          <w:i/>
          <w:iCs/>
          <w:color w:val="000000" w:themeColor="text1"/>
          <w:szCs w:val="24"/>
          <w14:textFill>
            <w14:solidFill>
              <w14:schemeClr w14:val="tx1"/>
            </w14:solidFill>
          </w14:textFill>
        </w:rPr>
      </w:pPr>
    </w:p>
    <w:p>
      <w:pPr>
        <w:pStyle w:val="3"/>
        <w:numPr>
          <w:ilvl w:val="0"/>
          <w:numId w:val="0"/>
        </w:numPr>
        <w:spacing w:line="360" w:lineRule="auto"/>
        <w:ind w:left="720" w:hanging="720"/>
        <w:rPr>
          <w:rFonts w:cs="Times New Roman"/>
        </w:rPr>
      </w:pPr>
      <w:bookmarkStart w:id="90" w:name="_Toc16112_WPSOffice_Level1"/>
      <w:bookmarkStart w:id="91" w:name="_Toc141559004"/>
      <w:r>
        <w:rPr>
          <w:rFonts w:cs="Times New Roman"/>
          <w:highlight w:val="yellow"/>
        </w:rPr>
        <w:t>Regression Model</w:t>
      </w:r>
      <w:bookmarkEnd w:id="90"/>
      <w:bookmarkEnd w:id="91"/>
    </w:p>
    <w:p>
      <w:pPr>
        <w:spacing w:line="360" w:lineRule="auto"/>
        <w:rPr>
          <w:rFonts w:cs="Times New Roman"/>
        </w:rPr>
      </w:pPr>
    </w:p>
    <w:p>
      <w:pPr>
        <w:spacing w:line="360" w:lineRule="auto"/>
        <w:rPr>
          <w:rFonts w:cs="Times New Roman"/>
        </w:rPr>
      </w:pPr>
    </w:p>
    <w:p>
      <w:pPr>
        <w:spacing w:line="360" w:lineRule="auto"/>
        <w:jc w:val="both"/>
        <w:rPr>
          <w:rFonts w:cs="Times New Roman"/>
          <w:szCs w:val="24"/>
        </w:rPr>
      </w:pPr>
      <w:r>
        <w:rPr>
          <w:rFonts w:cs="Times New Roman"/>
          <w:iCs/>
          <w:color w:val="000000" w:themeColor="text1"/>
          <w:szCs w:val="24"/>
          <w14:textFill>
            <w14:solidFill>
              <w14:schemeClr w14:val="tx1"/>
            </w14:solidFill>
          </w14:textFill>
        </w:rPr>
        <w:t>The following Multiple Regression Model has been developed based on c</w:t>
      </w:r>
      <w:r>
        <w:rPr>
          <w:rFonts w:cs="Times New Roman"/>
          <w:szCs w:val="24"/>
        </w:rPr>
        <w:t xml:space="preserve">oefficient statistics </w:t>
      </w:r>
    </w:p>
    <w:p>
      <w:pPr>
        <w:spacing w:line="360" w:lineRule="auto"/>
        <w:jc w:val="both"/>
        <w:rPr>
          <w:rFonts w:cs="Times New Roman"/>
          <w:i/>
          <w:iCs/>
          <w:color w:val="000000" w:themeColor="text1"/>
          <w:szCs w:val="24"/>
          <w14:textFill>
            <w14:solidFill>
              <w14:schemeClr w14:val="tx1"/>
            </w14:solidFill>
          </w14:textFill>
        </w:rPr>
      </w:pPr>
      <w:r>
        <w:rPr>
          <w:rFonts w:cs="Times New Roman"/>
          <w:iCs/>
          <w:color w:val="000000" w:themeColor="text1"/>
          <w:szCs w:val="24"/>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557530</wp:posOffset>
                </wp:positionH>
                <wp:positionV relativeFrom="paragraph">
                  <wp:posOffset>32385</wp:posOffset>
                </wp:positionV>
                <wp:extent cx="3350895" cy="707390"/>
                <wp:effectExtent l="0" t="0" r="1905" b="16510"/>
                <wp:wrapNone/>
                <wp:docPr id="49" name="Text Box 49"/>
                <wp:cNvGraphicFramePr/>
                <a:graphic xmlns:a="http://schemas.openxmlformats.org/drawingml/2006/main">
                  <a:graphicData uri="http://schemas.microsoft.com/office/word/2010/wordprocessingShape">
                    <wps:wsp>
                      <wps:cNvSpPr txBox="1"/>
                      <wps:spPr>
                        <a:xfrm>
                          <a:off x="0" y="0"/>
                          <a:ext cx="3350895" cy="707390"/>
                        </a:xfrm>
                        <a:prstGeom prst="rect">
                          <a:avLst/>
                        </a:prstGeom>
                        <a:solidFill>
                          <a:schemeClr val="accent1">
                            <a:lumMod val="20000"/>
                            <a:lumOff val="80000"/>
                          </a:schemeClr>
                        </a:solidFill>
                        <a:ln w="6350">
                          <a:noFill/>
                        </a:ln>
                        <a:effectLst/>
                        <a:scene3d>
                          <a:camera prst="orthographicFront">
                            <a:rot lat="0" lon="0" rev="0"/>
                          </a:camera>
                          <a:lightRig rig="contrasting" dir="t">
                            <a:rot lat="0" lon="0" rev="7800000"/>
                          </a:lightRig>
                        </a:scene3d>
                        <a:sp3d>
                          <a:bevelT w="139700" h="139700"/>
                        </a:sp3d>
                      </wps:spPr>
                      <wps:txbx>
                        <w:txbxContent>
                          <w:p>
                            <w:pPr>
                              <w:rPr>
                                <w:rFonts w:cs="Times New Roman"/>
                                <w:i/>
                                <w:iCs/>
                                <w:szCs w:val="24"/>
                              </w:rPr>
                            </w:pPr>
                          </w:p>
                          <w:p>
                            <w:pPr>
                              <w:jc w:val="right"/>
                              <w:rPr>
                                <w:rFonts w:cs="Times New Roman"/>
                                <w:b/>
                                <w:bCs/>
                                <w:sz w:val="22"/>
                                <w:szCs w:val="22"/>
                              </w:rPr>
                            </w:pPr>
                            <w:r>
                              <w:rPr>
                                <w:rFonts w:cs="Times New Roman"/>
                                <w:b/>
                                <w:bCs/>
                                <w:sz w:val="22"/>
                                <w:szCs w:val="22"/>
                              </w:rPr>
                              <w:t>GMSME = 0.258 + 0.331MC + 0.464MS + 0.147MI</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3.9pt;margin-top:2.55pt;height:55.7pt;width:263.85pt;z-index:251663360;mso-width-relative:page;mso-height-relative:page;" fillcolor="#DAE3F3 [660]" filled="t" stroked="f" coordsize="21600,21600" o:gfxdata="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9mlw99gAAAAI&#10;AQAADwAAAAAAAAABACAAAAAiAAAAZHJzL2Rvd25yZXYueG1sUEsBAhQAFAAAAAgAh07iQPRVjovH&#10;AgAAxwUAAA4AAAAAAAAAAQAgAAAAJwEAAGRycy9lMm9Eb2MueG1sUEsFBgAAAAAGAAYAWQEAAGAG&#10;AAAAAA==&#10;">
                <v:fill on="t" focussize="0,0"/>
                <v:stroke on="f" weight="0.5pt"/>
                <v:imagedata o:title=""/>
                <o:lock v:ext="edit" aspectratio="f"/>
                <v:textbox>
                  <w:txbxContent>
                    <w:p>
                      <w:pPr>
                        <w:rPr>
                          <w:rFonts w:cs="Times New Roman"/>
                          <w:i/>
                          <w:iCs/>
                          <w:szCs w:val="24"/>
                        </w:rPr>
                      </w:pPr>
                    </w:p>
                    <w:p>
                      <w:pPr>
                        <w:jc w:val="right"/>
                        <w:rPr>
                          <w:rFonts w:cs="Times New Roman"/>
                          <w:b/>
                          <w:bCs/>
                          <w:sz w:val="22"/>
                          <w:szCs w:val="22"/>
                        </w:rPr>
                      </w:pPr>
                      <w:r>
                        <w:rPr>
                          <w:rFonts w:cs="Times New Roman"/>
                          <w:b/>
                          <w:bCs/>
                          <w:sz w:val="22"/>
                          <w:szCs w:val="22"/>
                        </w:rPr>
                        <w:t>GMSME = 0.258 + 0.331MC + 0.464MS + 0.147MI</w:t>
                      </w:r>
                    </w:p>
                  </w:txbxContent>
                </v:textbox>
              </v:shape>
            </w:pict>
          </mc:Fallback>
        </mc:AlternateContent>
      </w:r>
    </w:p>
    <w:p>
      <w:pPr>
        <w:spacing w:line="360" w:lineRule="auto"/>
        <w:jc w:val="both"/>
        <w:rPr>
          <w:rFonts w:cs="Times New Roman"/>
          <w:szCs w:val="24"/>
        </w:rPr>
      </w:pPr>
    </w:p>
    <w:p>
      <w:pPr>
        <w:spacing w:line="360" w:lineRule="auto"/>
        <w:jc w:val="both"/>
        <w:rPr>
          <w:rFonts w:cs="Times New Roman"/>
          <w:b/>
          <w:bCs/>
          <w:szCs w:val="24"/>
          <w:u w:val="single"/>
        </w:rPr>
      </w:pPr>
    </w:p>
    <w:p>
      <w:pPr>
        <w:spacing w:line="360" w:lineRule="auto"/>
        <w:jc w:val="both"/>
        <w:rPr>
          <w:rFonts w:cs="Times New Roman"/>
          <w:b/>
          <w:bCs/>
          <w:szCs w:val="24"/>
          <w:u w:val="single"/>
        </w:rPr>
      </w:pPr>
    </w:p>
    <w:p>
      <w:pPr>
        <w:spacing w:line="360" w:lineRule="auto"/>
        <w:jc w:val="both"/>
        <w:rPr>
          <w:rFonts w:cs="Times New Roman"/>
          <w:b/>
          <w:bCs/>
          <w:szCs w:val="24"/>
          <w:u w:val="single"/>
        </w:rPr>
      </w:pPr>
    </w:p>
    <w:p>
      <w:pPr>
        <w:spacing w:line="360" w:lineRule="auto"/>
        <w:jc w:val="both"/>
        <w:rPr>
          <w:rFonts w:cs="Times New Roman"/>
          <w:b/>
          <w:bCs/>
          <w:szCs w:val="24"/>
          <w:u w:val="single"/>
        </w:rPr>
      </w:pPr>
    </w:p>
    <w:p>
      <w:pPr>
        <w:spacing w:line="360" w:lineRule="auto"/>
        <w:jc w:val="both"/>
        <w:rPr>
          <w:rFonts w:cs="Times New Roman"/>
          <w:b/>
          <w:bCs/>
          <w:szCs w:val="24"/>
          <w:u w:val="single"/>
        </w:rPr>
      </w:pPr>
      <w:r>
        <w:rPr>
          <w:rFonts w:cs="Times New Roman"/>
          <w:b/>
          <w:bCs/>
          <w:szCs w:val="24"/>
          <w:u w:val="single"/>
        </w:rPr>
        <w:t>Micro-credit (MC)</w:t>
      </w:r>
    </w:p>
    <w:p>
      <w:pPr>
        <w:spacing w:line="360" w:lineRule="auto"/>
        <w:jc w:val="both"/>
        <w:rPr>
          <w:rFonts w:cs="Times New Roman"/>
          <w:szCs w:val="24"/>
        </w:rPr>
      </w:pPr>
      <w:r>
        <w:rPr>
          <w:rFonts w:cs="Times New Roman"/>
          <w:szCs w:val="24"/>
        </w:rPr>
        <w:t>The Growth of MSMEs was shown to be significantly impacted by micro-credit, as shown by table 19, which has a B value of 0.331 and a P value that is less than 0.05. Additionally, it was observed that the hypothesized path of micro-credit had a significant path (t-value = 4.355), which is higher than 1.96. It is concluded that Micro credit positively and significantly influences the micro finance service on Growth of MSMEs. Therefore, the research is supported and accepted by hypothesis (H1).</w:t>
      </w:r>
    </w:p>
    <w:p>
      <w:pPr>
        <w:spacing w:line="360" w:lineRule="auto"/>
        <w:jc w:val="both"/>
        <w:rPr>
          <w:rFonts w:cs="Times New Roman"/>
          <w:szCs w:val="24"/>
        </w:rPr>
      </w:pPr>
    </w:p>
    <w:p>
      <w:pPr>
        <w:spacing w:line="360" w:lineRule="auto"/>
        <w:jc w:val="both"/>
        <w:rPr>
          <w:rFonts w:cs="Times New Roman"/>
          <w:b/>
          <w:bCs/>
          <w:szCs w:val="24"/>
          <w:u w:val="single"/>
        </w:rPr>
      </w:pPr>
      <w:r>
        <w:rPr>
          <w:rFonts w:cs="Times New Roman"/>
          <w:b/>
          <w:bCs/>
          <w:szCs w:val="24"/>
          <w:u w:val="single"/>
        </w:rPr>
        <w:t>Micro-saving (MS)</w:t>
      </w:r>
    </w:p>
    <w:p>
      <w:pPr>
        <w:spacing w:line="360" w:lineRule="auto"/>
        <w:jc w:val="both"/>
        <w:rPr>
          <w:rFonts w:cs="Times New Roman"/>
          <w:szCs w:val="24"/>
        </w:rPr>
      </w:pPr>
      <w:r>
        <w:rPr>
          <w:rFonts w:cs="Times New Roman"/>
          <w:szCs w:val="24"/>
        </w:rPr>
        <w:t>Table 19 shows that micro savings, which have a B value of 0.464 and a P value that is less than 0.05, have a substantial path to effect of micro financing service on the Growth of MSMEs. Additionally, the hypothesized path of micro savings was determined to have a significant path with a t-value above 1.96 (t-value = 5.655). It is concluded that Micro saving positively and significantly influences the micro finance service on Growth of MSMEs. As a result, the research is supported and accepted by hypothesis (H1).</w:t>
      </w:r>
    </w:p>
    <w:p>
      <w:pPr>
        <w:spacing w:line="360" w:lineRule="auto"/>
        <w:jc w:val="both"/>
        <w:rPr>
          <w:rFonts w:cs="Times New Roman"/>
          <w:szCs w:val="24"/>
        </w:rPr>
      </w:pPr>
    </w:p>
    <w:p>
      <w:pPr>
        <w:spacing w:line="360" w:lineRule="auto"/>
        <w:jc w:val="both"/>
        <w:rPr>
          <w:rFonts w:cs="Times New Roman"/>
          <w:szCs w:val="24"/>
        </w:rPr>
      </w:pPr>
    </w:p>
    <w:p>
      <w:pPr>
        <w:spacing w:line="360" w:lineRule="auto"/>
        <w:jc w:val="both"/>
        <w:rPr>
          <w:rFonts w:cs="Times New Roman"/>
          <w:b/>
          <w:bCs/>
          <w:szCs w:val="24"/>
          <w:u w:val="single"/>
        </w:rPr>
      </w:pPr>
      <w:r>
        <w:rPr>
          <w:rFonts w:cs="Times New Roman"/>
          <w:b/>
          <w:bCs/>
          <w:szCs w:val="24"/>
          <w:u w:val="single"/>
        </w:rPr>
        <w:t>Micro-insurance (MI)</w:t>
      </w:r>
    </w:p>
    <w:p>
      <w:pPr>
        <w:spacing w:line="360" w:lineRule="auto"/>
        <w:jc w:val="both"/>
        <w:rPr>
          <w:rFonts w:cs="Times New Roman"/>
          <w:szCs w:val="24"/>
        </w:rPr>
      </w:pPr>
      <w:r>
        <w:rPr>
          <w:rFonts w:cs="Times New Roman"/>
          <w:szCs w:val="24"/>
        </w:rPr>
        <w:t xml:space="preserve">The table 19 shows </w:t>
      </w:r>
      <w:r>
        <w:rPr>
          <w:rFonts w:cs="Times New Roman"/>
          <w:color w:val="000000" w:themeColor="text1"/>
          <w:szCs w:val="24"/>
          <w14:textFill>
            <w14:solidFill>
              <w14:schemeClr w14:val="tx1"/>
            </w14:solidFill>
          </w14:textFill>
        </w:rPr>
        <w:t xml:space="preserve">the B value of </w:t>
      </w:r>
      <w:r>
        <w:rPr>
          <w:rFonts w:cs="Times New Roman"/>
          <w:szCs w:val="24"/>
        </w:rPr>
        <w:t>micro-insurance</w:t>
      </w:r>
      <w:r>
        <w:rPr>
          <w:rFonts w:cs="Times New Roman"/>
          <w:color w:val="000000" w:themeColor="text1"/>
          <w:szCs w:val="24"/>
          <w14:textFill>
            <w14:solidFill>
              <w14:schemeClr w14:val="tx1"/>
            </w14:solidFill>
          </w14:textFill>
        </w:rPr>
        <w:t xml:space="preserve"> as 0.147</w:t>
      </w:r>
      <w:r>
        <w:rPr>
          <w:rFonts w:cs="Times New Roman"/>
          <w:szCs w:val="24"/>
        </w:rPr>
        <w:t>, showing positive Impact between micro-insurance and the Growth of MSMEs. It is concluded that Micro insurance positively influences the micro finance service on Growth of MSMEs. Therefore, hypothesis (H1) accepted and supported to the research.</w:t>
      </w:r>
    </w:p>
    <w:p>
      <w:pPr>
        <w:spacing w:line="360" w:lineRule="auto"/>
        <w:jc w:val="both"/>
        <w:rPr>
          <w:rFonts w:cs="Times New Roman"/>
          <w:szCs w:val="24"/>
        </w:rPr>
      </w:pPr>
    </w:p>
    <w:p>
      <w:pPr>
        <w:spacing w:after="160" w:line="360" w:lineRule="auto"/>
        <w:jc w:val="both"/>
        <w:rPr>
          <w:rFonts w:cs="Times New Roman"/>
          <w:szCs w:val="24"/>
        </w:rPr>
      </w:pPr>
      <w:r>
        <w:rPr>
          <w:rFonts w:cs="Times New Roman"/>
          <w:szCs w:val="24"/>
        </w:rPr>
        <w:t>Following Table 20 shows the summary of the results of hypothesis test.</w:t>
      </w:r>
    </w:p>
    <w:p>
      <w:pPr>
        <w:pStyle w:val="9"/>
        <w:keepNext/>
        <w:spacing w:line="360" w:lineRule="auto"/>
        <w:rPr>
          <w:rFonts w:cs="Times New Roman"/>
          <w:i w:val="0"/>
          <w:szCs w:val="24"/>
        </w:rPr>
      </w:pPr>
      <w:bookmarkStart w:id="92" w:name="_Toc122095187"/>
      <w:r>
        <w:rPr>
          <w:rFonts w:cs="Times New Roman"/>
          <w:i w:val="0"/>
          <w:szCs w:val="24"/>
        </w:rPr>
        <w:t>Table 20: Summary Results of Hypotheses Test.</w:t>
      </w:r>
      <w:bookmarkEnd w:id="92"/>
    </w:p>
    <w:tbl>
      <w:tblPr>
        <w:tblStyle w:val="25"/>
        <w:tblW w:w="8263" w:type="dxa"/>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874"/>
        <w:gridCol w:w="1412"/>
        <w:gridCol w:w="901"/>
        <w:gridCol w:w="785"/>
        <w:gridCol w:w="1291"/>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8" w:hRule="atLeast"/>
        </w:trPr>
        <w:tc>
          <w:tcPr>
            <w:tcW w:w="3874" w:type="dxa"/>
            <w:vMerge w:val="restart"/>
            <w:shd w:val="clear" w:color="auto" w:fill="E7E6E6" w:themeFill="background2"/>
          </w:tcPr>
          <w:p>
            <w:pPr>
              <w:spacing w:line="360" w:lineRule="auto"/>
              <w:jc w:val="both"/>
              <w:rPr>
                <w:rFonts w:cs="Times New Roman"/>
                <w:b/>
                <w:bCs/>
                <w:szCs w:val="24"/>
              </w:rPr>
            </w:pPr>
            <w:r>
              <w:rPr>
                <w:rFonts w:cs="Times New Roman"/>
                <w:b/>
                <w:bCs/>
                <w:szCs w:val="24"/>
              </w:rPr>
              <w:t>Hypotheses</w:t>
            </w:r>
          </w:p>
        </w:tc>
        <w:tc>
          <w:tcPr>
            <w:tcW w:w="1412" w:type="dxa"/>
            <w:vMerge w:val="restart"/>
            <w:shd w:val="clear" w:color="auto" w:fill="E7E6E6" w:themeFill="background2"/>
          </w:tcPr>
          <w:p>
            <w:pPr>
              <w:spacing w:line="360" w:lineRule="auto"/>
              <w:jc w:val="both"/>
              <w:rPr>
                <w:rFonts w:cs="Times New Roman"/>
                <w:b/>
                <w:bCs/>
                <w:szCs w:val="24"/>
              </w:rPr>
            </w:pPr>
            <w:r>
              <w:rPr>
                <w:rFonts w:cs="Times New Roman"/>
                <w:b/>
                <w:bCs/>
                <w:szCs w:val="24"/>
              </w:rPr>
              <w:t>Expected Impact</w:t>
            </w:r>
          </w:p>
        </w:tc>
        <w:tc>
          <w:tcPr>
            <w:tcW w:w="1686" w:type="dxa"/>
            <w:gridSpan w:val="2"/>
            <w:shd w:val="clear" w:color="auto" w:fill="E7E6E6" w:themeFill="background2"/>
          </w:tcPr>
          <w:p>
            <w:pPr>
              <w:spacing w:line="360" w:lineRule="auto"/>
              <w:jc w:val="both"/>
              <w:rPr>
                <w:rFonts w:cs="Times New Roman"/>
                <w:b/>
                <w:bCs/>
                <w:szCs w:val="24"/>
              </w:rPr>
            </w:pPr>
            <w:r>
              <w:rPr>
                <w:rFonts w:cs="Times New Roman"/>
                <w:b/>
                <w:bCs/>
                <w:szCs w:val="24"/>
              </w:rPr>
              <w:t>Values</w:t>
            </w:r>
          </w:p>
        </w:tc>
        <w:tc>
          <w:tcPr>
            <w:tcW w:w="1291" w:type="dxa"/>
            <w:vMerge w:val="restart"/>
            <w:shd w:val="clear" w:color="auto" w:fill="E7E6E6" w:themeFill="background2"/>
          </w:tcPr>
          <w:p>
            <w:pPr>
              <w:spacing w:line="360" w:lineRule="auto"/>
              <w:jc w:val="both"/>
              <w:rPr>
                <w:rFonts w:cs="Times New Roman"/>
                <w:b/>
                <w:bCs/>
                <w:szCs w:val="24"/>
              </w:rPr>
            </w:pPr>
            <w:r>
              <w:rPr>
                <w:rFonts w:cs="Times New Roman"/>
                <w:b/>
                <w:bCs/>
                <w:szCs w:val="24"/>
              </w:rPr>
              <w:t>Results</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3874" w:type="dxa"/>
            <w:vMerge w:val="continue"/>
          </w:tcPr>
          <w:p>
            <w:pPr>
              <w:spacing w:line="360" w:lineRule="auto"/>
              <w:jc w:val="both"/>
              <w:rPr>
                <w:rFonts w:cs="Times New Roman"/>
                <w:szCs w:val="24"/>
              </w:rPr>
            </w:pPr>
          </w:p>
        </w:tc>
        <w:tc>
          <w:tcPr>
            <w:tcW w:w="1412" w:type="dxa"/>
            <w:vMerge w:val="continue"/>
          </w:tcPr>
          <w:p>
            <w:pPr>
              <w:spacing w:line="360" w:lineRule="auto"/>
              <w:jc w:val="both"/>
              <w:rPr>
                <w:rFonts w:cs="Times New Roman"/>
                <w:szCs w:val="24"/>
              </w:rPr>
            </w:pPr>
          </w:p>
        </w:tc>
        <w:tc>
          <w:tcPr>
            <w:tcW w:w="901" w:type="dxa"/>
            <w:shd w:val="clear" w:color="auto" w:fill="E7E6E6" w:themeFill="background2"/>
          </w:tcPr>
          <w:p>
            <w:pPr>
              <w:spacing w:line="360" w:lineRule="auto"/>
              <w:jc w:val="both"/>
              <w:rPr>
                <w:rFonts w:cs="Times New Roman"/>
                <w:b/>
                <w:bCs/>
                <w:szCs w:val="24"/>
              </w:rPr>
            </w:pPr>
            <w:r>
              <w:rPr>
                <w:rFonts w:cs="Times New Roman"/>
                <w:b/>
                <w:bCs/>
                <w:szCs w:val="24"/>
              </w:rPr>
              <w:t>Sig.</w:t>
            </w:r>
          </w:p>
        </w:tc>
        <w:tc>
          <w:tcPr>
            <w:tcW w:w="785" w:type="dxa"/>
            <w:shd w:val="clear" w:color="auto" w:fill="E7E6E6" w:themeFill="background2"/>
          </w:tcPr>
          <w:p>
            <w:pPr>
              <w:spacing w:line="360" w:lineRule="auto"/>
              <w:jc w:val="both"/>
              <w:rPr>
                <w:rFonts w:cs="Times New Roman"/>
                <w:b/>
                <w:bCs/>
                <w:szCs w:val="24"/>
              </w:rPr>
            </w:pPr>
            <w:r>
              <w:rPr>
                <w:rFonts w:cs="Times New Roman"/>
                <w:b/>
                <w:bCs/>
                <w:szCs w:val="24"/>
              </w:rPr>
              <w:t>B</w:t>
            </w:r>
          </w:p>
        </w:tc>
        <w:tc>
          <w:tcPr>
            <w:tcW w:w="1291" w:type="dxa"/>
            <w:vMerge w:val="continue"/>
          </w:tcPr>
          <w:p>
            <w:pPr>
              <w:spacing w:line="360" w:lineRule="auto"/>
              <w:jc w:val="both"/>
              <w:rPr>
                <w:rFonts w:cs="Times New Roman"/>
                <w:szCs w:val="24"/>
              </w:rPr>
            </w:pP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0" w:hRule="exact"/>
        </w:trPr>
        <w:tc>
          <w:tcPr>
            <w:tcW w:w="3874" w:type="dxa"/>
          </w:tcPr>
          <w:p>
            <w:pPr>
              <w:spacing w:line="360" w:lineRule="auto"/>
              <w:jc w:val="both"/>
              <w:rPr>
                <w:rFonts w:cs="Times New Roman"/>
                <w:b/>
                <w:bCs/>
                <w:szCs w:val="24"/>
                <w:u w:val="single"/>
              </w:rPr>
            </w:pPr>
            <w:r>
              <w:rPr>
                <w:rFonts w:cs="Times New Roman"/>
                <w:b/>
                <w:bCs/>
                <w:szCs w:val="24"/>
                <w:u w:val="single"/>
              </w:rPr>
              <w:t>Micro credit (MC)</w:t>
            </w:r>
          </w:p>
          <w:p>
            <w:pPr>
              <w:spacing w:line="360" w:lineRule="auto"/>
              <w:jc w:val="both"/>
              <w:rPr>
                <w:rFonts w:cs="Times New Roman"/>
                <w:b/>
                <w:bCs/>
                <w:szCs w:val="24"/>
              </w:rPr>
            </w:pPr>
            <w:r>
              <w:rPr>
                <w:rFonts w:cs="Times New Roman"/>
                <w:b/>
                <w:bCs/>
                <w:szCs w:val="24"/>
              </w:rPr>
              <w:t xml:space="preserve">Hypothesis H1: </w:t>
            </w:r>
          </w:p>
          <w:p>
            <w:pPr>
              <w:spacing w:line="360" w:lineRule="auto"/>
              <w:jc w:val="both"/>
              <w:rPr>
                <w:rFonts w:cs="Times New Roman"/>
                <w:b/>
                <w:bCs/>
                <w:szCs w:val="24"/>
              </w:rPr>
            </w:pPr>
            <w:r>
              <w:rPr>
                <w:rFonts w:cs="Times New Roman"/>
                <w:szCs w:val="24"/>
              </w:rPr>
              <w:t xml:space="preserve">Micro Credit has significant and positive impact on Growth of MSME in Service Sector Operating in Colombo District. </w:t>
            </w:r>
          </w:p>
          <w:p>
            <w:pPr>
              <w:pStyle w:val="13"/>
              <w:spacing w:before="0" w:beforeAutospacing="0" w:after="160" w:afterAutospacing="0" w:line="360" w:lineRule="auto"/>
              <w:jc w:val="both"/>
              <w:rPr>
                <w:bCs/>
              </w:rPr>
            </w:pPr>
          </w:p>
        </w:tc>
        <w:tc>
          <w:tcPr>
            <w:tcW w:w="1412" w:type="dxa"/>
          </w:tcPr>
          <w:p>
            <w:pPr>
              <w:spacing w:line="360" w:lineRule="auto"/>
              <w:jc w:val="both"/>
              <w:rPr>
                <w:rFonts w:cs="Times New Roman"/>
                <w:szCs w:val="24"/>
              </w:rPr>
            </w:pPr>
          </w:p>
          <w:p>
            <w:pPr>
              <w:spacing w:line="360" w:lineRule="auto"/>
              <w:jc w:val="both"/>
              <w:rPr>
                <w:rFonts w:cs="Times New Roman"/>
                <w:szCs w:val="24"/>
              </w:rPr>
            </w:pPr>
            <w:r>
              <w:rPr>
                <w:rFonts w:cs="Times New Roman"/>
                <w:szCs w:val="24"/>
              </w:rPr>
              <w:t>Significant and positive Impact</w:t>
            </w:r>
          </w:p>
        </w:tc>
        <w:tc>
          <w:tcPr>
            <w:tcW w:w="901" w:type="dxa"/>
          </w:tcPr>
          <w:p>
            <w:pPr>
              <w:spacing w:line="360" w:lineRule="auto"/>
              <w:jc w:val="both"/>
              <w:rPr>
                <w:rFonts w:cs="Times New Roman"/>
                <w:szCs w:val="24"/>
              </w:rPr>
            </w:pPr>
            <w:r>
              <w:rPr>
                <w:rFonts w:cs="Times New Roman"/>
                <w:szCs w:val="24"/>
              </w:rPr>
              <w:t>.000</w:t>
            </w:r>
          </w:p>
        </w:tc>
        <w:tc>
          <w:tcPr>
            <w:tcW w:w="785" w:type="dxa"/>
          </w:tcPr>
          <w:p>
            <w:pPr>
              <w:spacing w:line="360" w:lineRule="auto"/>
              <w:jc w:val="both"/>
              <w:rPr>
                <w:rFonts w:cs="Times New Roman"/>
                <w:szCs w:val="24"/>
              </w:rPr>
            </w:pPr>
            <w:r>
              <w:rPr>
                <w:rFonts w:cs="Times New Roman"/>
                <w:szCs w:val="24"/>
              </w:rPr>
              <w:t>.331</w:t>
            </w:r>
          </w:p>
        </w:tc>
        <w:tc>
          <w:tcPr>
            <w:tcW w:w="1291" w:type="dxa"/>
          </w:tcPr>
          <w:p>
            <w:pPr>
              <w:spacing w:line="360" w:lineRule="auto"/>
              <w:jc w:val="both"/>
              <w:rPr>
                <w:rFonts w:cs="Times New Roman"/>
                <w:szCs w:val="24"/>
              </w:rPr>
            </w:pPr>
            <w:r>
              <w:rPr>
                <w:rFonts w:cs="Times New Roman"/>
                <w:szCs w:val="24"/>
              </w:rPr>
              <w:t>Supported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49" w:hRule="exact"/>
        </w:trPr>
        <w:tc>
          <w:tcPr>
            <w:tcW w:w="3874" w:type="dxa"/>
          </w:tcPr>
          <w:p>
            <w:pPr>
              <w:spacing w:line="360" w:lineRule="auto"/>
              <w:jc w:val="both"/>
              <w:rPr>
                <w:rFonts w:cs="Times New Roman"/>
                <w:b/>
                <w:bCs/>
                <w:szCs w:val="24"/>
                <w:u w:val="single"/>
              </w:rPr>
            </w:pPr>
            <w:r>
              <w:rPr>
                <w:rFonts w:cs="Times New Roman"/>
                <w:b/>
                <w:bCs/>
                <w:szCs w:val="24"/>
                <w:u w:val="single"/>
              </w:rPr>
              <w:t>Micro savings (MS)</w:t>
            </w:r>
          </w:p>
          <w:p>
            <w:pPr>
              <w:spacing w:line="360" w:lineRule="auto"/>
              <w:jc w:val="both"/>
              <w:rPr>
                <w:rFonts w:cs="Times New Roman"/>
                <w:b/>
                <w:bCs/>
                <w:szCs w:val="24"/>
              </w:rPr>
            </w:pPr>
            <w:r>
              <w:rPr>
                <w:rFonts w:cs="Times New Roman"/>
                <w:b/>
                <w:bCs/>
                <w:szCs w:val="24"/>
              </w:rPr>
              <w:t xml:space="preserve">Hypothesis H1: </w:t>
            </w:r>
          </w:p>
          <w:p>
            <w:pPr>
              <w:spacing w:line="360" w:lineRule="auto"/>
              <w:jc w:val="both"/>
              <w:rPr>
                <w:rFonts w:cs="Times New Roman"/>
                <w:b/>
                <w:bCs/>
                <w:szCs w:val="24"/>
              </w:rPr>
            </w:pPr>
            <w:r>
              <w:rPr>
                <w:rFonts w:cs="Times New Roman"/>
                <w:szCs w:val="24"/>
              </w:rPr>
              <w:t xml:space="preserve">Micro Savings has significant and positive impact on Growth of MSME in Service Sector Operating in Colombo District. </w:t>
            </w:r>
          </w:p>
          <w:p>
            <w:pPr>
              <w:spacing w:line="360" w:lineRule="auto"/>
              <w:jc w:val="both"/>
              <w:rPr>
                <w:rFonts w:cs="Times New Roman"/>
                <w:b/>
                <w:bCs/>
                <w:szCs w:val="24"/>
              </w:rPr>
            </w:pPr>
          </w:p>
        </w:tc>
        <w:tc>
          <w:tcPr>
            <w:tcW w:w="1412" w:type="dxa"/>
          </w:tcPr>
          <w:p>
            <w:pPr>
              <w:spacing w:line="360" w:lineRule="auto"/>
              <w:jc w:val="both"/>
              <w:rPr>
                <w:rFonts w:cs="Times New Roman"/>
                <w:szCs w:val="24"/>
              </w:rPr>
            </w:pPr>
            <w:r>
              <w:rPr>
                <w:rFonts w:cs="Times New Roman"/>
                <w:szCs w:val="24"/>
              </w:rPr>
              <w:t>Significant and positive Impact</w:t>
            </w:r>
          </w:p>
        </w:tc>
        <w:tc>
          <w:tcPr>
            <w:tcW w:w="901" w:type="dxa"/>
          </w:tcPr>
          <w:p>
            <w:pPr>
              <w:spacing w:line="360" w:lineRule="auto"/>
              <w:jc w:val="both"/>
              <w:rPr>
                <w:rFonts w:cs="Times New Roman"/>
                <w:szCs w:val="24"/>
              </w:rPr>
            </w:pPr>
            <w:r>
              <w:rPr>
                <w:rFonts w:cs="Times New Roman"/>
                <w:szCs w:val="24"/>
              </w:rPr>
              <w:t>.000</w:t>
            </w:r>
          </w:p>
        </w:tc>
        <w:tc>
          <w:tcPr>
            <w:tcW w:w="785" w:type="dxa"/>
          </w:tcPr>
          <w:p>
            <w:pPr>
              <w:spacing w:line="360" w:lineRule="auto"/>
              <w:jc w:val="both"/>
              <w:rPr>
                <w:rFonts w:cs="Times New Roman"/>
                <w:szCs w:val="24"/>
              </w:rPr>
            </w:pPr>
            <w:r>
              <w:rPr>
                <w:rFonts w:cs="Times New Roman"/>
                <w:szCs w:val="24"/>
              </w:rPr>
              <w:t>.464</w:t>
            </w:r>
          </w:p>
          <w:p>
            <w:pPr>
              <w:spacing w:line="360" w:lineRule="auto"/>
              <w:jc w:val="both"/>
              <w:rPr>
                <w:rFonts w:cs="Times New Roman"/>
                <w:szCs w:val="24"/>
              </w:rPr>
            </w:pPr>
          </w:p>
        </w:tc>
        <w:tc>
          <w:tcPr>
            <w:tcW w:w="1291" w:type="dxa"/>
          </w:tcPr>
          <w:p>
            <w:pPr>
              <w:spacing w:line="360" w:lineRule="auto"/>
              <w:jc w:val="both"/>
              <w:rPr>
                <w:rFonts w:cs="Times New Roman"/>
                <w:szCs w:val="24"/>
              </w:rPr>
            </w:pPr>
            <w:r>
              <w:rPr>
                <w:rFonts w:cs="Times New Roman"/>
                <w:szCs w:val="24"/>
              </w:rPr>
              <w:t>Supported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5" w:hRule="exact"/>
        </w:trPr>
        <w:tc>
          <w:tcPr>
            <w:tcW w:w="3874" w:type="dxa"/>
          </w:tcPr>
          <w:p>
            <w:pPr>
              <w:spacing w:line="360" w:lineRule="auto"/>
              <w:jc w:val="both"/>
              <w:rPr>
                <w:rFonts w:cs="Times New Roman"/>
                <w:b/>
                <w:bCs/>
                <w:szCs w:val="24"/>
                <w:u w:val="single"/>
              </w:rPr>
            </w:pPr>
            <w:r>
              <w:rPr>
                <w:rFonts w:cs="Times New Roman"/>
                <w:b/>
                <w:bCs/>
                <w:szCs w:val="24"/>
                <w:u w:val="single"/>
              </w:rPr>
              <w:t>Micro insurance (MI)</w:t>
            </w:r>
          </w:p>
          <w:p>
            <w:pPr>
              <w:spacing w:line="360" w:lineRule="auto"/>
              <w:jc w:val="both"/>
              <w:rPr>
                <w:rFonts w:cs="Times New Roman"/>
                <w:b/>
                <w:bCs/>
                <w:szCs w:val="24"/>
              </w:rPr>
            </w:pPr>
            <w:r>
              <w:rPr>
                <w:rFonts w:cs="Times New Roman"/>
                <w:b/>
                <w:bCs/>
                <w:szCs w:val="24"/>
              </w:rPr>
              <w:t>Hypothesis H1:</w:t>
            </w:r>
          </w:p>
          <w:p>
            <w:pPr>
              <w:spacing w:line="360" w:lineRule="auto"/>
              <w:jc w:val="both"/>
              <w:rPr>
                <w:rFonts w:cs="Times New Roman"/>
                <w:b/>
                <w:bCs/>
                <w:szCs w:val="24"/>
              </w:rPr>
            </w:pPr>
            <w:r>
              <w:rPr>
                <w:rFonts w:cs="Times New Roman"/>
                <w:szCs w:val="24"/>
              </w:rPr>
              <w:t>Micro Insurance has positive impact on Growth of MSME in Service Sector Operating in Colombo District</w:t>
            </w:r>
            <w:r>
              <w:rPr>
                <w:rFonts w:cs="Times New Roman"/>
                <w:i/>
                <w:iCs/>
                <w:szCs w:val="24"/>
              </w:rPr>
              <w:t>.</w:t>
            </w:r>
            <w:r>
              <w:rPr>
                <w:rFonts w:cs="Times New Roman"/>
                <w:szCs w:val="24"/>
              </w:rPr>
              <w:t xml:space="preserve"> </w:t>
            </w:r>
          </w:p>
          <w:p>
            <w:pPr>
              <w:spacing w:line="360" w:lineRule="auto"/>
              <w:jc w:val="both"/>
              <w:rPr>
                <w:rFonts w:cs="Times New Roman"/>
                <w:b/>
                <w:bCs/>
                <w:szCs w:val="24"/>
              </w:rPr>
            </w:pPr>
          </w:p>
          <w:p>
            <w:pPr>
              <w:pStyle w:val="13"/>
              <w:spacing w:before="0" w:beforeAutospacing="0" w:after="0" w:afterAutospacing="0" w:line="360" w:lineRule="auto"/>
              <w:jc w:val="both"/>
              <w:rPr>
                <w:bCs/>
              </w:rPr>
            </w:pPr>
          </w:p>
        </w:tc>
        <w:tc>
          <w:tcPr>
            <w:tcW w:w="1412" w:type="dxa"/>
          </w:tcPr>
          <w:p>
            <w:pPr>
              <w:spacing w:line="360" w:lineRule="auto"/>
              <w:jc w:val="both"/>
              <w:rPr>
                <w:rFonts w:cs="Times New Roman"/>
                <w:szCs w:val="24"/>
              </w:rPr>
            </w:pPr>
            <w:r>
              <w:rPr>
                <w:rFonts w:cs="Times New Roman"/>
                <w:szCs w:val="24"/>
              </w:rPr>
              <w:t>Positive I Impact</w:t>
            </w:r>
          </w:p>
        </w:tc>
        <w:tc>
          <w:tcPr>
            <w:tcW w:w="901" w:type="dxa"/>
          </w:tcPr>
          <w:p>
            <w:pPr>
              <w:spacing w:line="360" w:lineRule="auto"/>
              <w:jc w:val="both"/>
              <w:rPr>
                <w:rFonts w:cs="Times New Roman"/>
                <w:szCs w:val="24"/>
              </w:rPr>
            </w:pPr>
            <w:r>
              <w:rPr>
                <w:rFonts w:cs="Times New Roman"/>
                <w:szCs w:val="24"/>
              </w:rPr>
              <w:t>.065</w:t>
            </w:r>
          </w:p>
        </w:tc>
        <w:tc>
          <w:tcPr>
            <w:tcW w:w="785" w:type="dxa"/>
          </w:tcPr>
          <w:p>
            <w:pPr>
              <w:spacing w:line="360" w:lineRule="auto"/>
              <w:jc w:val="both"/>
              <w:rPr>
                <w:rFonts w:cs="Times New Roman"/>
                <w:szCs w:val="24"/>
              </w:rPr>
            </w:pPr>
            <w:r>
              <w:rPr>
                <w:rFonts w:cs="Times New Roman"/>
                <w:szCs w:val="24"/>
              </w:rPr>
              <w:t>.147</w:t>
            </w:r>
          </w:p>
        </w:tc>
        <w:tc>
          <w:tcPr>
            <w:tcW w:w="1291" w:type="dxa"/>
          </w:tcPr>
          <w:p>
            <w:pPr>
              <w:spacing w:line="360" w:lineRule="auto"/>
              <w:jc w:val="both"/>
              <w:rPr>
                <w:rFonts w:cs="Times New Roman"/>
                <w:szCs w:val="24"/>
              </w:rPr>
            </w:pPr>
            <w:r>
              <w:rPr>
                <w:rFonts w:cs="Times New Roman"/>
                <w:szCs w:val="24"/>
              </w:rPr>
              <w:t>Supported</w:t>
            </w:r>
          </w:p>
        </w:tc>
      </w:tr>
    </w:tbl>
    <w:p>
      <w:pPr>
        <w:pStyle w:val="2"/>
        <w:numPr>
          <w:ilvl w:val="0"/>
          <w:numId w:val="0"/>
        </w:numPr>
        <w:spacing w:line="360" w:lineRule="auto"/>
        <w:rPr>
          <w:rFonts w:cs="Times New Roman"/>
          <w:sz w:val="28"/>
          <w:szCs w:val="28"/>
        </w:rPr>
      </w:pPr>
      <w:bookmarkStart w:id="93" w:name="_Toc141559005"/>
      <w:bookmarkStart w:id="94" w:name="_Toc32150_WPSOffice_Level1"/>
    </w:p>
    <w:p>
      <w:pPr>
        <w:pStyle w:val="2"/>
        <w:numPr>
          <w:ilvl w:val="0"/>
          <w:numId w:val="0"/>
        </w:numPr>
        <w:spacing w:line="360" w:lineRule="auto"/>
        <w:rPr>
          <w:rFonts w:cs="Times New Roman"/>
          <w:sz w:val="28"/>
          <w:szCs w:val="28"/>
        </w:rPr>
      </w:pPr>
      <w:r>
        <w:rPr>
          <w:rFonts w:cs="Times New Roman"/>
          <w:sz w:val="28"/>
          <w:szCs w:val="28"/>
        </w:rPr>
        <w:t>Conclusion</w:t>
      </w:r>
      <w:bookmarkEnd w:id="93"/>
      <w:bookmarkEnd w:id="94"/>
    </w:p>
    <w:p>
      <w:pPr>
        <w:pStyle w:val="30"/>
        <w:spacing w:line="360" w:lineRule="auto"/>
        <w:rPr>
          <w:rFonts w:cs="Times New Roman"/>
          <w:szCs w:val="24"/>
        </w:rPr>
      </w:pPr>
    </w:p>
    <w:p>
      <w:pPr>
        <w:spacing w:after="160" w:line="360" w:lineRule="auto"/>
        <w:jc w:val="both"/>
        <w:rPr>
          <w:rFonts w:cs="Times New Roman"/>
          <w:szCs w:val="24"/>
        </w:rPr>
      </w:pPr>
      <w:r>
        <w:rPr>
          <w:rFonts w:cs="Times New Roman"/>
          <w:szCs w:val="24"/>
        </w:rPr>
        <w:t>This study attempts to investigate the effect of Micro Finance Services on the Growth of MSMEs. Positive relationship has been established between Micro Finance Services on the Growth of MSMEs. The study confirms the positive contributions of Micro Credit facilities, Micro savings and Micro Insurance towards promoting Growth of MSMEs such as Sales Growth, Profit Growth and Asset Growth. Since MSMEs makes up over 90% of all enterprises in most economies, and it is credited with producing the highest rate of employment growth as well as a significant portion of industrial production and exports. Therefore, it is recommended that the government should take appropriate actions in order to boost the labour intensity and employment rate of the MSME in Sri Lanka. The government can organize training programs and awareness campaigns for entrepreneurs. Additionally, the government should take steps to provide collateral, support targeted loans to MSMEs, or provide money to those who meet particular criteria, such as increasing productivity or hiring more staff. They might also favor them in terms of taxation. Further, Government must play an active role to limit foreign imports, which affect local manufacturing by raising recurrent and capital expenses, and at the same time, must promote exports from local manufacturing.</w:t>
      </w:r>
    </w:p>
    <w:p>
      <w:pPr>
        <w:spacing w:after="160" w:line="360" w:lineRule="auto"/>
        <w:jc w:val="both"/>
        <w:rPr>
          <w:rFonts w:cs="Times New Roman"/>
          <w:szCs w:val="24"/>
        </w:rPr>
      </w:pPr>
      <w:r>
        <w:rPr>
          <w:rFonts w:cs="Times New Roman"/>
          <w:szCs w:val="24"/>
        </w:rPr>
        <w:t xml:space="preserve">As per the research of (corporation, 2003), it’s recognized that the roles of micro-finance institutions are very important for the development of MSME. According to the research done by </w:t>
      </w:r>
      <w:r>
        <w:rPr>
          <w:rFonts w:cs="Times New Roman"/>
          <w:szCs w:val="24"/>
          <w:highlight w:val="yellow"/>
        </w:rPr>
        <w:t>(Mashigo, S. O</w:t>
      </w:r>
      <w:r>
        <w:rPr>
          <w:rFonts w:cs="Times New Roman"/>
          <w:szCs w:val="24"/>
        </w:rPr>
        <w:t>. The impact of micro-finance on micro enterprises, 2017), micro-finance has a favorable effect on small businesses. According to (Cooper, 2012), micro insurance facilities are essential for MSMEs' growth as well as their level of sales and profitability since they assist MSMEs in managing their business risks properly.</w:t>
      </w:r>
    </w:p>
    <w:p>
      <w:pPr>
        <w:spacing w:after="160" w:line="360" w:lineRule="auto"/>
        <w:jc w:val="both"/>
        <w:rPr>
          <w:rFonts w:cs="Times New Roman"/>
          <w:szCs w:val="24"/>
        </w:rPr>
      </w:pPr>
      <w:r>
        <w:rPr>
          <w:rFonts w:cs="Times New Roman"/>
          <w:szCs w:val="24"/>
        </w:rPr>
        <w:t>To increase the productivity of micro, small, and medium-sized businesses, it is recommended that insurance companies should develop new insurance products and adapt existing insurance products in response to the current scenario. The development of new insurance products, especially those with lower premiums, should be undertaken by insurance companies. Additionally, insurance companies should take steps to conduct public service announcements and launch appropriate product marketing to raise awareness of MSMEs' owners.</w:t>
      </w:r>
    </w:p>
    <w:p>
      <w:pPr>
        <w:spacing w:after="160" w:line="360" w:lineRule="auto"/>
        <w:jc w:val="both"/>
        <w:rPr>
          <w:rFonts w:cs="Times New Roman"/>
          <w:szCs w:val="24"/>
        </w:rPr>
      </w:pPr>
      <w:r>
        <w:rPr>
          <w:rFonts w:cs="Times New Roman"/>
          <w:szCs w:val="24"/>
        </w:rPr>
        <w:t>According to Mutuma (J. Omagwa, Micro-finance Services and Financial Performance of Small and Medium Enterprises in Meru Town, Kenya, 2019) micro-credit facilities have a significant impact on the financial performance of SMEs. Therefore, financial institutions should take steps to develop new strategies and amend existing ones to increase the productivity of micro, small, and medium-sized businesses by developing adequate saving schemes for MSMEs and appropriate credit system. Additionally, financial institutions should evaluate how their customers feel about their services and make decisions on how to enhance them to deliver high-quality services in order to boost client retention and satisfaction.</w:t>
      </w:r>
      <w:bookmarkStart w:id="95" w:name="_Toc141559006"/>
      <w:bookmarkStart w:id="96" w:name="_Toc21812_WPSOffice_Level1"/>
    </w:p>
    <w:p>
      <w:pPr>
        <w:rPr>
          <w:rFonts w:cs="Times New Roman"/>
          <w:sz w:val="28"/>
          <w:szCs w:val="28"/>
        </w:rPr>
      </w:pPr>
    </w:p>
    <w:p>
      <w:pPr>
        <w:pStyle w:val="2"/>
        <w:numPr>
          <w:ilvl w:val="0"/>
          <w:numId w:val="0"/>
        </w:numPr>
        <w:spacing w:line="360" w:lineRule="auto"/>
        <w:rPr>
          <w:rFonts w:cs="Times New Roman"/>
          <w:sz w:val="28"/>
          <w:szCs w:val="28"/>
        </w:rPr>
      </w:pPr>
      <w:r>
        <w:rPr>
          <w:rFonts w:cs="Times New Roman"/>
          <w:sz w:val="28"/>
          <w:szCs w:val="28"/>
        </w:rPr>
        <w:t>References</w:t>
      </w:r>
      <w:bookmarkEnd w:id="95"/>
      <w:bookmarkEnd w:id="96"/>
    </w:p>
    <w:sdt>
      <w:sdtPr>
        <w:rPr>
          <w:rFonts w:eastAsia="Calibri" w:cs="Times New Roman"/>
          <w:b w:val="0"/>
          <w:szCs w:val="24"/>
        </w:rPr>
        <w:id w:val="-712580768"/>
      </w:sdtPr>
      <w:sdtEndPr>
        <w:rPr>
          <w:rFonts w:eastAsia="Calibri" w:cs="Times New Roman"/>
          <w:b w:val="0"/>
          <w:szCs w:val="24"/>
        </w:rPr>
      </w:sdtEndPr>
      <w:sdtContent>
        <w:p>
          <w:pPr>
            <w:pStyle w:val="2"/>
            <w:numPr>
              <w:ilvl w:val="0"/>
              <w:numId w:val="0"/>
            </w:numPr>
            <w:spacing w:line="360" w:lineRule="auto"/>
            <w:rPr>
              <w:rFonts w:cs="Times New Roman"/>
              <w:szCs w:val="24"/>
            </w:rPr>
          </w:pPr>
        </w:p>
        <w:sdt>
          <w:sdtPr>
            <w:rPr>
              <w:rFonts w:cs="Times New Roman"/>
              <w:szCs w:val="24"/>
            </w:rPr>
            <w:id w:val="111145805"/>
          </w:sdtPr>
          <w:sdtEndPr>
            <w:rPr>
              <w:rFonts w:cs="Times New Roman"/>
              <w:szCs w:val="24"/>
            </w:rPr>
          </w:sdtEndPr>
          <w:sdtContent>
            <w:p>
              <w:pPr>
                <w:pStyle w:val="33"/>
                <w:spacing w:line="360" w:lineRule="auto"/>
                <w:ind w:left="720" w:hanging="720"/>
                <w:rPr>
                  <w:rFonts w:cs="Times New Roman"/>
                  <w:szCs w:val="24"/>
                </w:rPr>
              </w:pPr>
              <w:r>
                <w:rPr>
                  <w:rFonts w:cs="Times New Roman"/>
                  <w:szCs w:val="24"/>
                </w:rPr>
                <w:fldChar w:fldCharType="begin"/>
              </w:r>
              <w:r>
                <w:rPr>
                  <w:rFonts w:cs="Times New Roman"/>
                  <w:szCs w:val="24"/>
                </w:rPr>
                <w:instrText xml:space="preserve"> BIBLIOGRAPHY </w:instrText>
              </w:r>
              <w:r>
                <w:rPr>
                  <w:rFonts w:cs="Times New Roman"/>
                  <w:szCs w:val="24"/>
                </w:rPr>
                <w:fldChar w:fldCharType="separate"/>
              </w:r>
              <w:r>
                <w:rPr>
                  <w:rFonts w:cs="Times New Roman"/>
                </w:rPr>
                <w:t xml:space="preserve">A. M.Adam &amp; G.Tweneboah. (2008). Macroeconomic Factors and Stock Market Movement: Evidence from Ghana. </w:t>
              </w:r>
              <w:r>
                <w:rPr>
                  <w:rFonts w:cs="Times New Roman"/>
                  <w:i/>
                  <w:iCs/>
                </w:rPr>
                <w:t xml:space="preserve">SSRN Electronic Journal </w:t>
              </w:r>
              <w:r>
                <w:rPr>
                  <w:rFonts w:cs="Times New Roman"/>
                </w:rPr>
                <w:t>, 1-26.</w:t>
              </w:r>
            </w:p>
            <w:p>
              <w:pPr>
                <w:pStyle w:val="33"/>
                <w:spacing w:line="360" w:lineRule="auto"/>
                <w:ind w:left="720" w:hanging="720"/>
                <w:rPr>
                  <w:rFonts w:cs="Times New Roman"/>
                </w:rPr>
              </w:pPr>
              <w:r>
                <w:rPr>
                  <w:rFonts w:cs="Times New Roman"/>
                </w:rPr>
                <w:t xml:space="preserve">Amediku, J. (2012). the Impact of Income Diversification on Bank Performance. </w:t>
              </w:r>
              <w:r>
                <w:rPr>
                  <w:rFonts w:cs="Times New Roman"/>
                  <w:i/>
                  <w:iCs/>
                </w:rPr>
                <w:t>a Case Study of Zenith Bank, Cal Bank and Unibank. September.</w:t>
              </w:r>
              <w:r>
                <w:rPr>
                  <w:rFonts w:cs="Times New Roman"/>
                </w:rPr>
                <w:t xml:space="preserve"> </w:t>
              </w:r>
            </w:p>
            <w:p>
              <w:pPr>
                <w:pStyle w:val="33"/>
                <w:spacing w:line="360" w:lineRule="auto"/>
                <w:ind w:left="720" w:hanging="720"/>
                <w:rPr>
                  <w:rFonts w:cs="Times New Roman"/>
                </w:rPr>
              </w:pPr>
              <w:r>
                <w:rPr>
                  <w:rFonts w:cs="Times New Roman"/>
                </w:rPr>
                <w:t xml:space="preserve">Azeez, G. K. (2016). Financing Preferences of Small and Medium Enterprise Owners of Sri Lanka. </w:t>
              </w:r>
              <w:r>
                <w:rPr>
                  <w:rFonts w:cs="Times New Roman"/>
                  <w:i/>
                  <w:iCs/>
                </w:rPr>
                <w:t>Journal of Business &amp; Economic Policy, 3(2)</w:t>
              </w:r>
              <w:r>
                <w:rPr>
                  <w:rFonts w:cs="Times New Roman"/>
                </w:rPr>
                <w:t>, 79-92.</w:t>
              </w:r>
            </w:p>
            <w:p>
              <w:pPr>
                <w:pStyle w:val="33"/>
                <w:spacing w:line="360" w:lineRule="auto"/>
                <w:ind w:left="720" w:hanging="720"/>
                <w:rPr>
                  <w:rFonts w:cs="Times New Roman"/>
                </w:rPr>
              </w:pPr>
              <w:r>
                <w:rPr>
                  <w:rFonts w:cs="Times New Roman"/>
                </w:rPr>
                <w:t xml:space="preserve">Cooper, J. (2012). </w:t>
              </w:r>
              <w:r>
                <w:rPr>
                  <w:rFonts w:cs="Times New Roman"/>
                  <w:i/>
                  <w:iCs/>
                </w:rPr>
                <w:t>The impact of microfinance services on the growth of small and medium enterprises in Kenya.</w:t>
              </w:r>
              <w:r>
                <w:rPr>
                  <w:rFonts w:cs="Times New Roman"/>
                </w:rPr>
                <w:t xml:space="preserve"> (Doctoral dissertation, University of Nairobi, Kenya).</w:t>
              </w:r>
            </w:p>
            <w:p>
              <w:pPr>
                <w:pStyle w:val="33"/>
                <w:spacing w:line="360" w:lineRule="auto"/>
                <w:ind w:left="720" w:hanging="720"/>
                <w:rPr>
                  <w:rFonts w:cs="Times New Roman"/>
                </w:rPr>
              </w:pPr>
              <w:r>
                <w:rPr>
                  <w:rFonts w:cs="Times New Roman"/>
                </w:rPr>
                <w:t xml:space="preserve">Dissanayake, M. R. (2019). Digital transformation for small &amp; medium enterprises (Smes): with special focus on Sri Lankan context as an emerging economy. </w:t>
              </w:r>
              <w:r>
                <w:rPr>
                  <w:rFonts w:cs="Times New Roman"/>
                  <w:i/>
                  <w:iCs/>
                </w:rPr>
                <w:t>International Journal of Business and Management Review</w:t>
              </w:r>
              <w:r>
                <w:rPr>
                  <w:rFonts w:cs="Times New Roman"/>
                </w:rPr>
                <w:t>, 59-76.</w:t>
              </w:r>
            </w:p>
            <w:p>
              <w:pPr>
                <w:pStyle w:val="33"/>
                <w:spacing w:line="360" w:lineRule="auto"/>
                <w:ind w:left="720" w:hanging="720"/>
                <w:rPr>
                  <w:rFonts w:cs="Times New Roman"/>
                </w:rPr>
              </w:pPr>
              <w:r>
                <w:rPr>
                  <w:rFonts w:cs="Times New Roman"/>
                </w:rPr>
                <w:t xml:space="preserve">G.K. Anane, P. C. (2013). Sustainability of small and medium scale enterprises in rural Ghana. </w:t>
              </w:r>
              <w:r>
                <w:rPr>
                  <w:rFonts w:cs="Times New Roman"/>
                  <w:i/>
                  <w:iCs/>
                </w:rPr>
                <w:t>The role of microfinance institutions. Asian Economic and Financial Review, 3(8), 1003</w:t>
              </w:r>
              <w:r>
                <w:rPr>
                  <w:rFonts w:cs="Times New Roman"/>
                </w:rPr>
                <w:t>.</w:t>
              </w:r>
            </w:p>
            <w:p>
              <w:pPr>
                <w:pStyle w:val="33"/>
                <w:spacing w:line="360" w:lineRule="auto"/>
                <w:ind w:left="720" w:hanging="720"/>
                <w:rPr>
                  <w:rFonts w:cs="Times New Roman"/>
                </w:rPr>
              </w:pPr>
              <w:r>
                <w:rPr>
                  <w:rFonts w:cs="Times New Roman"/>
                </w:rPr>
                <w:t>Government of India. (2007). TN Industrial Policy – 2007. Investment Friendly: MCC1. NewDelhi, India: Government of India.</w:t>
              </w:r>
            </w:p>
            <w:p>
              <w:pPr>
                <w:pStyle w:val="33"/>
                <w:spacing w:line="360" w:lineRule="auto"/>
                <w:ind w:left="720" w:hanging="720"/>
                <w:rPr>
                  <w:rFonts w:cs="Times New Roman"/>
                </w:rPr>
              </w:pPr>
              <w:r>
                <w:rPr>
                  <w:rFonts w:cs="Times New Roman"/>
                </w:rPr>
                <w:t xml:space="preserve">gvgguy. (n.d.). </w:t>
              </w:r>
              <w:r>
                <w:rPr>
                  <w:rFonts w:cs="Times New Roman"/>
                  <w:i/>
                  <w:iCs/>
                </w:rPr>
                <w:t>huihujh.</w:t>
              </w:r>
              <w:r>
                <w:rPr>
                  <w:rFonts w:cs="Times New Roman"/>
                </w:rPr>
                <w:t xml:space="preserve"> hbhby.</w:t>
              </w:r>
            </w:p>
            <w:p>
              <w:pPr>
                <w:pStyle w:val="33"/>
                <w:spacing w:line="360" w:lineRule="auto"/>
                <w:ind w:left="720" w:hanging="720"/>
                <w:rPr>
                  <w:rFonts w:cs="Times New Roman"/>
                </w:rPr>
              </w:pPr>
              <w:r>
                <w:rPr>
                  <w:rFonts w:cs="Times New Roman"/>
                </w:rPr>
                <w:t xml:space="preserve">Hewaliyanage, R. (2001). </w:t>
              </w:r>
              <w:r>
                <w:rPr>
                  <w:rFonts w:cs="Times New Roman"/>
                  <w:i/>
                  <w:iCs/>
                </w:rPr>
                <w:t>Export Orientation for Small and Medium enterprises, Policies, Strategies and Programs, Asian productivity organization.</w:t>
              </w:r>
              <w:r>
                <w:rPr>
                  <w:rFonts w:cs="Times New Roman"/>
                </w:rPr>
                <w:t xml:space="preserve"> </w:t>
              </w:r>
            </w:p>
            <w:p>
              <w:pPr>
                <w:pStyle w:val="33"/>
                <w:spacing w:line="360" w:lineRule="auto"/>
                <w:ind w:left="720" w:hanging="720"/>
                <w:rPr>
                  <w:rFonts w:cs="Times New Roman"/>
                </w:rPr>
              </w:pPr>
              <w:r>
                <w:rPr>
                  <w:rFonts w:cs="Times New Roman"/>
                </w:rPr>
                <w:t xml:space="preserve">I. Rotich, C. L. (2015). Effects of microfinance services on the performance of small and medium enterprises in Kenya. </w:t>
              </w:r>
              <w:r>
                <w:rPr>
                  <w:rFonts w:cs="Times New Roman"/>
                  <w:i/>
                  <w:iCs/>
                </w:rPr>
                <w:t xml:space="preserve">African Journal of Business Management, 9(5), </w:t>
              </w:r>
              <w:r>
                <w:rPr>
                  <w:rFonts w:cs="Times New Roman"/>
                </w:rPr>
                <w:t>, 206-211.</w:t>
              </w:r>
            </w:p>
            <w:p>
              <w:pPr>
                <w:pStyle w:val="33"/>
                <w:spacing w:line="360" w:lineRule="auto"/>
                <w:ind w:left="720" w:hanging="720"/>
                <w:rPr>
                  <w:rFonts w:cs="Times New Roman"/>
                </w:rPr>
              </w:pPr>
              <w:r>
                <w:rPr>
                  <w:rFonts w:cs="Times New Roman"/>
                </w:rPr>
                <w:t>J. Omagwa, &amp;. K. (2019). Microfinance Services and Financial Performance of Small and Medium Enterprises in Meru Town, Kenya.</w:t>
              </w:r>
            </w:p>
            <w:p>
              <w:pPr>
                <w:pStyle w:val="33"/>
                <w:spacing w:line="360" w:lineRule="auto"/>
                <w:ind w:left="720" w:hanging="720"/>
                <w:rPr>
                  <w:rFonts w:cs="Times New Roman"/>
                </w:rPr>
              </w:pPr>
              <w:r>
                <w:rPr>
                  <w:rFonts w:cs="Times New Roman"/>
                </w:rPr>
                <w:t>Jagongo, O. a. (2018). Microfinance services and financial performance of small and medium enterprises of youth SMEs in Kisumu County, Kenya.</w:t>
              </w:r>
            </w:p>
            <w:p>
              <w:pPr>
                <w:pStyle w:val="33"/>
                <w:spacing w:line="360" w:lineRule="auto"/>
                <w:ind w:left="720" w:hanging="720"/>
                <w:rPr>
                  <w:rFonts w:cs="Times New Roman"/>
                </w:rPr>
              </w:pPr>
              <w:r>
                <w:rPr>
                  <w:rFonts w:cs="Times New Roman"/>
                </w:rPr>
                <w:t xml:space="preserve">K. Rathnayake, P. F. (2019). Impact of Microfinance Services on Growth of Micro Small and Medium Scale Enterprises: Empirical Evidence from Micro, Small and Medium Scale Enterprises in Kalutara district. </w:t>
              </w:r>
              <w:r>
                <w:rPr>
                  <w:rFonts w:cs="Times New Roman"/>
                  <w:i/>
                  <w:iCs/>
                </w:rPr>
                <w:t>Journal of Management and Tourism Research , 49-63.</w:t>
              </w:r>
              <w:r>
                <w:rPr>
                  <w:rFonts w:cs="Times New Roman"/>
                </w:rPr>
                <w:t xml:space="preserve"> </w:t>
              </w:r>
            </w:p>
            <w:p>
              <w:pPr>
                <w:pStyle w:val="33"/>
                <w:spacing w:line="360" w:lineRule="auto"/>
                <w:ind w:left="720" w:hanging="720"/>
                <w:rPr>
                  <w:rFonts w:cs="Times New Roman"/>
                </w:rPr>
              </w:pPr>
              <w:r>
                <w:rPr>
                  <w:rFonts w:cs="Times New Roman"/>
                </w:rPr>
                <w:t>lanka, C. B. (2021). Central Bank Sri Lankan.</w:t>
              </w:r>
            </w:p>
            <w:p>
              <w:pPr>
                <w:pStyle w:val="33"/>
                <w:spacing w:line="360" w:lineRule="auto"/>
                <w:ind w:left="720" w:hanging="720"/>
                <w:rPr>
                  <w:rFonts w:cs="Times New Roman"/>
                </w:rPr>
              </w:pPr>
              <w:r>
                <w:rPr>
                  <w:rFonts w:cs="Times New Roman"/>
                </w:rPr>
                <w:t xml:space="preserve">M. Saunders, P. L. (2003). Research methods for business students. . </w:t>
              </w:r>
              <w:r>
                <w:rPr>
                  <w:rFonts w:cs="Times New Roman"/>
                  <w:i/>
                  <w:iCs/>
                </w:rPr>
                <w:t>In Essex: Prentice Hall: Financial Times.</w:t>
              </w:r>
              <w:r>
                <w:rPr>
                  <w:rFonts w:cs="Times New Roman"/>
                </w:rPr>
                <w:t xml:space="preserve"> </w:t>
              </w:r>
            </w:p>
            <w:p>
              <w:pPr>
                <w:pStyle w:val="33"/>
                <w:spacing w:line="360" w:lineRule="auto"/>
                <w:ind w:left="720" w:hanging="720"/>
                <w:rPr>
                  <w:rFonts w:cs="Times New Roman"/>
                </w:rPr>
              </w:pPr>
              <w:r>
                <w:rPr>
                  <w:rFonts w:cs="Times New Roman"/>
                </w:rPr>
                <w:t xml:space="preserve">Mallery, G. a. (2003). Candidate Surveys on Program Evaluation: Examining Instrument Reliability, Validity and Program Effectiveness. </w:t>
              </w:r>
              <w:r>
                <w:rPr>
                  <w:rFonts w:cs="Times New Roman"/>
                  <w:i/>
                  <w:iCs/>
                </w:rPr>
                <w:t>Science and Education Publishing From Scientific Reearch to Knowledge</w:t>
              </w:r>
              <w:r>
                <w:rPr>
                  <w:rFonts w:cs="Times New Roman"/>
                </w:rPr>
                <w:t>.</w:t>
              </w:r>
            </w:p>
            <w:p>
              <w:pPr>
                <w:pStyle w:val="33"/>
                <w:spacing w:line="360" w:lineRule="auto"/>
                <w:ind w:left="720" w:hanging="720"/>
                <w:rPr>
                  <w:rFonts w:cs="Times New Roman"/>
                </w:rPr>
              </w:pPr>
              <w:r>
                <w:rPr>
                  <w:rFonts w:cs="Times New Roman"/>
                </w:rPr>
                <w:t xml:space="preserve">Mambula. (2002). Impact of Microfinance Services on Growth of Micro Small and Medium. </w:t>
              </w:r>
              <w:r>
                <w:rPr>
                  <w:rFonts w:cs="Times New Roman"/>
                  <w:i/>
                  <w:iCs/>
                </w:rPr>
                <w:t>Journal of Management and Tourism Research</w:t>
              </w:r>
              <w:r>
                <w:rPr>
                  <w:rFonts w:cs="Times New Roman"/>
                </w:rPr>
                <w:t>.</w:t>
              </w:r>
            </w:p>
            <w:p>
              <w:pPr>
                <w:pStyle w:val="33"/>
                <w:spacing w:line="360" w:lineRule="auto"/>
                <w:ind w:left="720" w:hanging="720"/>
                <w:rPr>
                  <w:rFonts w:cs="Times New Roman"/>
                </w:rPr>
              </w:pPr>
              <w:r>
                <w:rPr>
                  <w:rFonts w:cs="Times New Roman"/>
                </w:rPr>
                <w:t xml:space="preserve">Manak, C. S. (2015). </w:t>
              </w:r>
              <w:r>
                <w:rPr>
                  <w:rFonts w:cs="Times New Roman"/>
                  <w:i/>
                  <w:iCs/>
                </w:rPr>
                <w:t>Self-help groups: A keystone of microfinance in India-women empowerment and social security.</w:t>
              </w:r>
              <w:r>
                <w:rPr>
                  <w:rFonts w:cs="Times New Roman"/>
                </w:rPr>
                <w:t xml:space="preserve"> Andhra Pradesh Mahila Abhivruddhi Society (APMAS). India: Hyderabad.</w:t>
              </w:r>
            </w:p>
            <w:p>
              <w:pPr>
                <w:pStyle w:val="33"/>
                <w:spacing w:line="360" w:lineRule="auto"/>
                <w:ind w:left="720" w:hanging="720"/>
                <w:rPr>
                  <w:rFonts w:cs="Times New Roman"/>
                </w:rPr>
              </w:pPr>
              <w:r>
                <w:rPr>
                  <w:rFonts w:cs="Times New Roman"/>
                </w:rPr>
                <w:t xml:space="preserve">Marguerite. ( 1998). </w:t>
              </w:r>
              <w:r>
                <w:rPr>
                  <w:rFonts w:cs="Times New Roman"/>
                  <w:i/>
                  <w:iCs/>
                </w:rPr>
                <w:t>Impact of Microfinance Services on Growth of Micro Small and Medium</w:t>
              </w:r>
              <w:r>
                <w:rPr>
                  <w:rFonts w:cs="Times New Roman"/>
                </w:rPr>
                <w:t>.</w:t>
              </w:r>
            </w:p>
            <w:p>
              <w:pPr>
                <w:pStyle w:val="33"/>
                <w:spacing w:line="360" w:lineRule="auto"/>
                <w:ind w:left="720" w:hanging="720"/>
                <w:rPr>
                  <w:rFonts w:cs="Times New Roman"/>
                </w:rPr>
              </w:pPr>
              <w:r>
                <w:rPr>
                  <w:rFonts w:cs="Times New Roman"/>
                </w:rPr>
                <w:t xml:space="preserve">Marguerite. (1998). Impact of Microfinance Services on Growth of Micro Small and Medium. . </w:t>
              </w:r>
              <w:r>
                <w:rPr>
                  <w:rFonts w:cs="Times New Roman"/>
                  <w:i/>
                  <w:iCs/>
                </w:rPr>
                <w:t>Journal of Management and Tourism Research.</w:t>
              </w:r>
              <w:r>
                <w:rPr>
                  <w:rFonts w:cs="Times New Roman"/>
                </w:rPr>
                <w:t xml:space="preserve"> </w:t>
              </w:r>
            </w:p>
            <w:p>
              <w:pPr>
                <w:pStyle w:val="33"/>
                <w:spacing w:line="360" w:lineRule="auto"/>
                <w:ind w:left="720" w:hanging="720"/>
                <w:rPr>
                  <w:rFonts w:cs="Times New Roman"/>
                </w:rPr>
              </w:pPr>
              <w:r>
                <w:rPr>
                  <w:rFonts w:cs="Times New Roman"/>
                </w:rPr>
                <w:t xml:space="preserve">Mashigo, S. O. (2017). The impact of microfinance on micro enterprises. </w:t>
              </w:r>
              <w:r>
                <w:rPr>
                  <w:rFonts w:cs="Times New Roman"/>
                  <w:i/>
                  <w:iCs/>
                </w:rPr>
                <w:t>Investment management and financial innovations.</w:t>
              </w:r>
              <w:r>
                <w:rPr>
                  <w:rFonts w:cs="Times New Roman"/>
                </w:rPr>
                <w:t xml:space="preserve"> </w:t>
              </w:r>
            </w:p>
            <w:p>
              <w:pPr>
                <w:pStyle w:val="33"/>
                <w:spacing w:line="360" w:lineRule="auto"/>
                <w:ind w:left="720" w:hanging="720"/>
                <w:rPr>
                  <w:rFonts w:cs="Times New Roman"/>
                </w:rPr>
              </w:pPr>
              <w:r>
                <w:rPr>
                  <w:rFonts w:cs="Times New Roman"/>
                </w:rPr>
                <w:t xml:space="preserve">Musah, S. M. (2014). Traditional Risk Coping Mechanism and Microinsurance of Selected. </w:t>
              </w:r>
              <w:r>
                <w:rPr>
                  <w:rFonts w:cs="Times New Roman"/>
                  <w:i/>
                  <w:iCs/>
                </w:rPr>
                <w:t>International Journal of Innovative Research and Development, 3(10)</w:t>
              </w:r>
              <w:r>
                <w:rPr>
                  <w:rFonts w:cs="Times New Roman"/>
                </w:rPr>
                <w:t>, 233-237.</w:t>
              </w:r>
            </w:p>
            <w:p>
              <w:pPr>
                <w:pStyle w:val="33"/>
                <w:spacing w:line="360" w:lineRule="auto"/>
                <w:ind w:left="720" w:hanging="720"/>
                <w:rPr>
                  <w:rFonts w:cs="Times New Roman"/>
                </w:rPr>
              </w:pPr>
              <w:r>
                <w:rPr>
                  <w:rFonts w:cs="Times New Roman"/>
                </w:rPr>
                <w:t xml:space="preserve">Pioty, R. a. (2008). </w:t>
              </w:r>
              <w:r>
                <w:rPr>
                  <w:rFonts w:cs="Times New Roman"/>
                  <w:i/>
                  <w:iCs/>
                </w:rPr>
                <w:t>Strategies for effective loan delivery to small scale enterprises.</w:t>
              </w:r>
              <w:r>
                <w:rPr>
                  <w:rFonts w:cs="Times New Roman"/>
                </w:rPr>
                <w:t xml:space="preserve"> </w:t>
              </w:r>
            </w:p>
            <w:p>
              <w:pPr>
                <w:pStyle w:val="33"/>
                <w:spacing w:line="360" w:lineRule="auto"/>
                <w:ind w:left="720" w:hanging="720"/>
                <w:rPr>
                  <w:rFonts w:cs="Times New Roman"/>
                </w:rPr>
              </w:pPr>
              <w:r>
                <w:rPr>
                  <w:rFonts w:cs="Times New Roman"/>
                </w:rPr>
                <w:t xml:space="preserve">Ponnamperuma. (2000). Impact of Microfinance Services on Growth of Micro Small and Medium. </w:t>
              </w:r>
              <w:r>
                <w:rPr>
                  <w:rFonts w:cs="Times New Roman"/>
                  <w:i/>
                  <w:iCs/>
                </w:rPr>
                <w:t>Journal of Management and Tourism Research</w:t>
              </w:r>
              <w:r>
                <w:rPr>
                  <w:rFonts w:cs="Times New Roman"/>
                </w:rPr>
                <w:t>.</w:t>
              </w:r>
            </w:p>
            <w:p>
              <w:pPr>
                <w:pStyle w:val="33"/>
                <w:spacing w:line="360" w:lineRule="auto"/>
                <w:ind w:left="720" w:hanging="720"/>
                <w:rPr>
                  <w:rFonts w:cs="Times New Roman"/>
                </w:rPr>
              </w:pPr>
              <w:r>
                <w:rPr>
                  <w:rFonts w:cs="Times New Roman"/>
                </w:rPr>
                <w:t xml:space="preserve">S.Bakhtiari. (2006). Microfinance and poverty reduction: some international evidence. </w:t>
              </w:r>
              <w:r>
                <w:rPr>
                  <w:rFonts w:cs="Times New Roman"/>
                  <w:i/>
                  <w:iCs/>
                </w:rPr>
                <w:t>International Business &amp; Economics Research Journal (IBER), 5(12)</w:t>
              </w:r>
              <w:r>
                <w:rPr>
                  <w:rFonts w:cs="Times New Roman"/>
                </w:rPr>
                <w:t>.</w:t>
              </w:r>
            </w:p>
            <w:p>
              <w:pPr>
                <w:pStyle w:val="33"/>
                <w:spacing w:line="360" w:lineRule="auto"/>
                <w:ind w:left="720" w:hanging="720"/>
                <w:rPr>
                  <w:rFonts w:cs="Times New Roman"/>
                </w:rPr>
              </w:pPr>
              <w:r>
                <w:rPr>
                  <w:rFonts w:cs="Times New Roman"/>
                </w:rPr>
                <w:t xml:space="preserve">Schicks. (2013). The definition and causes of microfinance over-indebtedness. </w:t>
              </w:r>
              <w:r>
                <w:rPr>
                  <w:rFonts w:cs="Times New Roman"/>
                  <w:i/>
                  <w:iCs/>
                </w:rPr>
                <w:t>A customer protection point of view. Oxford development studies, 41(sup1), S95-S116.</w:t>
              </w:r>
              <w:r>
                <w:rPr>
                  <w:rFonts w:cs="Times New Roman"/>
                </w:rPr>
                <w:t xml:space="preserve"> </w:t>
              </w:r>
            </w:p>
            <w:p>
              <w:pPr>
                <w:pStyle w:val="33"/>
                <w:spacing w:line="360" w:lineRule="auto"/>
                <w:ind w:left="720" w:hanging="720"/>
                <w:rPr>
                  <w:rFonts w:cs="Times New Roman"/>
                </w:rPr>
              </w:pPr>
              <w:r>
                <w:rPr>
                  <w:rFonts w:cs="Times New Roman"/>
                </w:rPr>
                <w:t xml:space="preserve">Schindler, A. (2003). Effects of Microfinance Institutions’ Products on Financial Performance of Small and Medium Enterprises. </w:t>
              </w:r>
              <w:r>
                <w:rPr>
                  <w:rFonts w:cs="Times New Roman"/>
                  <w:i/>
                  <w:iCs/>
                </w:rPr>
                <w:t>IOSR Journal of Business and Management (IOSR-JBM).</w:t>
              </w:r>
              <w:r>
                <w:rPr>
                  <w:rFonts w:cs="Times New Roman"/>
                </w:rPr>
                <w:t xml:space="preserve"> </w:t>
              </w:r>
            </w:p>
            <w:p>
              <w:pPr>
                <w:pStyle w:val="33"/>
                <w:spacing w:line="360" w:lineRule="auto"/>
                <w:ind w:left="720" w:hanging="720"/>
                <w:rPr>
                  <w:rFonts w:cs="Times New Roman"/>
                </w:rPr>
              </w:pPr>
              <w:r>
                <w:rPr>
                  <w:rFonts w:cs="Times New Roman"/>
                </w:rPr>
                <w:t>Sekaran, U. (2003). Research and Markets: Research Methods for Business - A Skill Building Approach. . In John Wiley &amp; Sons. https://doi.org/http://dx.doi.org/10.1108/17506200710779521.</w:t>
              </w:r>
            </w:p>
            <w:p>
              <w:pPr>
                <w:pStyle w:val="33"/>
                <w:spacing w:line="360" w:lineRule="auto"/>
                <w:ind w:left="720" w:hanging="720"/>
                <w:rPr>
                  <w:rFonts w:cs="Times New Roman"/>
                </w:rPr>
              </w:pPr>
              <w:r>
                <w:rPr>
                  <w:rFonts w:cs="Times New Roman"/>
                </w:rPr>
                <w:t xml:space="preserve">Sharma, P. R. (2015). An Empirical overview of Microenterprises and Microfinance Development in Nepal . </w:t>
              </w:r>
              <w:r>
                <w:rPr>
                  <w:rFonts w:cs="Times New Roman"/>
                  <w:i/>
                  <w:iCs/>
                </w:rPr>
                <w:t xml:space="preserve">The Journal of Nepalese Bussiness Studies </w:t>
              </w:r>
              <w:r>
                <w:rPr>
                  <w:rFonts w:cs="Times New Roman"/>
                </w:rPr>
                <w:t>.</w:t>
              </w:r>
            </w:p>
            <w:p>
              <w:pPr>
                <w:pStyle w:val="33"/>
                <w:spacing w:line="360" w:lineRule="auto"/>
                <w:ind w:left="720" w:hanging="720"/>
                <w:rPr>
                  <w:rFonts w:cs="Times New Roman"/>
                </w:rPr>
              </w:pPr>
              <w:r>
                <w:rPr>
                  <w:rFonts w:cs="Times New Roman"/>
                </w:rPr>
                <w:t xml:space="preserve">Sharma's, C. C. (2002). the demand for micro insurance. </w:t>
              </w:r>
              <w:r>
                <w:rPr>
                  <w:rFonts w:cs="Times New Roman"/>
                  <w:i/>
                  <w:iCs/>
                </w:rPr>
                <w:t>Journal of International Development, 14(3), 381</w:t>
              </w:r>
              <w:r>
                <w:rPr>
                  <w:rFonts w:cs="Times New Roman"/>
                </w:rPr>
                <w:t>.</w:t>
              </w:r>
            </w:p>
            <w:p>
              <w:pPr>
                <w:pStyle w:val="33"/>
                <w:spacing w:line="360" w:lineRule="auto"/>
                <w:ind w:left="720" w:hanging="720"/>
                <w:rPr>
                  <w:rFonts w:cs="Times New Roman"/>
                </w:rPr>
              </w:pPr>
              <w:r>
                <w:rPr>
                  <w:rFonts w:cs="Times New Roman"/>
                </w:rPr>
                <w:t xml:space="preserve">Sweetman, H. &amp;. (n.d.). </w:t>
              </w:r>
              <w:r>
                <w:rPr>
                  <w:rFonts w:cs="Times New Roman"/>
                  <w:i/>
                  <w:iCs/>
                </w:rPr>
                <w:t>Small businesses in the rural sector of Malaysia. Asian Business &amp; Management, 4(4), 455-479.</w:t>
              </w:r>
              <w:r>
                <w:rPr>
                  <w:rFonts w:cs="Times New Roman"/>
                </w:rPr>
                <w:t xml:space="preserve"> </w:t>
              </w:r>
            </w:p>
            <w:p>
              <w:pPr>
                <w:pStyle w:val="33"/>
                <w:spacing w:line="360" w:lineRule="auto"/>
                <w:ind w:left="720" w:hanging="720"/>
                <w:rPr>
                  <w:rFonts w:cs="Times New Roman"/>
                </w:rPr>
              </w:pPr>
              <w:r>
                <w:rPr>
                  <w:rFonts w:cs="Times New Roman"/>
                </w:rPr>
                <w:t xml:space="preserve">W.Rajapakshe. (n.d.). The Role of Micro Finance Institutions on the Development of Micro Enterprises (MEs) in Sri Lanka. </w:t>
              </w:r>
              <w:r>
                <w:rPr>
                  <w:rFonts w:cs="Times New Roman"/>
                  <w:i/>
                  <w:iCs/>
                </w:rPr>
                <w:t>South Asian Journal of Social Studies and Economics , 1-17</w:t>
              </w:r>
              <w:r>
                <w:rPr>
                  <w:rFonts w:cs="Times New Roman"/>
                </w:rPr>
                <w:t>.</w:t>
              </w:r>
            </w:p>
            <w:p>
              <w:pPr>
                <w:pStyle w:val="33"/>
                <w:spacing w:line="360" w:lineRule="auto"/>
                <w:ind w:left="720" w:hanging="720"/>
                <w:rPr>
                  <w:rFonts w:cs="Times New Roman"/>
                </w:rPr>
              </w:pPr>
              <w:r>
                <w:rPr>
                  <w:rFonts w:cs="Times New Roman"/>
                </w:rPr>
                <w:t xml:space="preserve">Zhiri, J. N. (2012). </w:t>
              </w:r>
              <w:r>
                <w:rPr>
                  <w:rFonts w:cs="Times New Roman"/>
                  <w:i/>
                  <w:iCs/>
                </w:rPr>
                <w:t>The impact of microfinance services on the growth of small and medium enterprises in Kenya. (Doctoral dissertation, University of Nairobi, Kenya).</w:t>
              </w:r>
              <w:r>
                <w:rPr>
                  <w:rFonts w:cs="Times New Roman"/>
                </w:rPr>
                <w:t xml:space="preserve"> </w:t>
              </w:r>
            </w:p>
            <w:p>
              <w:pPr>
                <w:spacing w:line="360" w:lineRule="auto"/>
                <w:rPr>
                  <w:rFonts w:cs="Times New Roman"/>
                  <w:szCs w:val="24"/>
                </w:rPr>
              </w:pPr>
              <w:r>
                <w:rPr>
                  <w:rFonts w:cs="Times New Roman"/>
                  <w:b/>
                  <w:bCs/>
                  <w:szCs w:val="24"/>
                </w:rPr>
                <w:fldChar w:fldCharType="end"/>
              </w:r>
            </w:p>
          </w:sdtContent>
        </w:sdt>
      </w:sdtContent>
    </w:sdt>
    <w:p>
      <w:pPr>
        <w:spacing w:after="160" w:line="360" w:lineRule="auto"/>
        <w:rPr>
          <w:rFonts w:cs="Times New Roman"/>
          <w:szCs w:val="24"/>
        </w:rPr>
      </w:pPr>
    </w:p>
    <w:sectPr>
      <w:headerReference r:id="rId5" w:type="default"/>
      <w:footerReference r:id="rId6" w:type="default"/>
      <w:pgSz w:w="10263" w:h="14515"/>
      <w:pgMar w:top="1152" w:right="1152" w:bottom="1152" w:left="1152" w:header="720" w:footer="720" w:gutter="0"/>
      <w:cols w:space="720"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等线 Light">
    <w:altName w:val="Yu Gothic"/>
    <w:panose1 w:val="00000000000000000000"/>
    <w:charset w:val="80"/>
    <w:family w:val="roman"/>
    <w:pitch w:val="default"/>
    <w:sig w:usb0="00000000" w:usb1="00000000" w:usb2="00000000" w:usb3="00000000" w:csb0="00000000" w:csb1="00000000"/>
  </w:font>
  <w:font w:name="Calibri Light">
    <w:panose1 w:val="020F0302020204030204"/>
    <w:charset w:val="00"/>
    <w:family w:val="swiss"/>
    <w:pitch w:val="default"/>
    <w:sig w:usb0="E4002EFF" w:usb1="C200247B" w:usb2="00000009" w:usb3="00000000" w:csb0="200001FF" w:csb1="00000000"/>
  </w:font>
  <w:font w:name="Symbol">
    <w:panose1 w:val="05050102010706020507"/>
    <w:charset w:val="02"/>
    <w:family w:val="roman"/>
    <w:pitch w:val="default"/>
    <w:sig w:usb0="00000000" w:usb1="00000000" w:usb2="00000000" w:usb3="00000000" w:csb0="80000000" w:csb1="00000000"/>
  </w:font>
  <w:font w:name="Symbol">
    <w:panose1 w:val="05050102010706020507"/>
    <w:charset w:val="00"/>
    <w:family w:val="auto"/>
    <w:pitch w:val="default"/>
    <w:sig w:usb0="00000000" w:usb1="00000000" w:usb2="00000000" w:usb3="00000000" w:csb0="80000000" w:csb1="00000000"/>
  </w:font>
  <w:font w:name="Helvetica">
    <w:altName w:val="Arial"/>
    <w:panose1 w:val="00000000000000000000"/>
    <w:charset w:val="00"/>
    <w:family w:val="auto"/>
    <w:pitch w:val="default"/>
    <w:sig w:usb0="00000000" w:usb1="00000000" w:usb2="00000000" w:usb3="00000000" w:csb0="00000000" w:csb1="00000000"/>
  </w:font>
  <w:font w:name="Yu Gothic">
    <w:panose1 w:val="020B0400000000000000"/>
    <w:charset w:val="80"/>
    <w:family w:val="auto"/>
    <w:pitch w:val="default"/>
    <w:sig w:usb0="E00002FF" w:usb1="2AC7FDFF" w:usb2="00000016" w:usb3="00000000" w:csb0="2002009F" w:csb1="00000000"/>
  </w:font>
  <w:font w:name="tim">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等线 Light">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87581853"/>
    </w:sdtPr>
    <w:sdtContent>
      <w:p>
        <w:pPr>
          <w:pStyle w:val="10"/>
          <w:jc w:val="center"/>
        </w:pPr>
        <w:r>
          <w:fldChar w:fldCharType="begin"/>
        </w:r>
        <w:r>
          <w:instrText xml:space="preserve"> PAGE   \* MERGEFORMAT </w:instrText>
        </w:r>
        <w:r>
          <w:fldChar w:fldCharType="separate"/>
        </w:r>
        <w:r>
          <w:t>28</w:t>
        </w:r>
        <w:r>
          <w:fldChar w:fldCharType="end"/>
        </w:r>
      </w:p>
    </w:sdtContent>
  </w:sdt>
  <w:p>
    <w:pPr>
      <w:pStyle w:val="1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p>
    <w:pPr>
      <w:pStyle w:val="11"/>
    </w:pPr>
  </w:p>
  <w:p>
    <w:pPr>
      <w:pStyle w:val="11"/>
    </w:pPr>
  </w:p>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ED0C40"/>
    <w:multiLevelType w:val="multilevel"/>
    <w:tmpl w:val="05ED0C40"/>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12061297"/>
    <w:multiLevelType w:val="multilevel"/>
    <w:tmpl w:val="12061297"/>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178D2CE2"/>
    <w:multiLevelType w:val="multilevel"/>
    <w:tmpl w:val="178D2CE2"/>
    <w:lvl w:ilvl="0" w:tentative="0">
      <w:start w:val="1"/>
      <w:numFmt w:val="lowerLetter"/>
      <w:lvlText w:val="%1."/>
      <w:lvlJc w:val="left"/>
      <w:pPr>
        <w:ind w:left="420" w:hanging="360"/>
      </w:pPr>
      <w:rPr>
        <w:rFonts w:hint="default"/>
      </w:rPr>
    </w:lvl>
    <w:lvl w:ilvl="1" w:tentative="0">
      <w:start w:val="1"/>
      <w:numFmt w:val="lowerLetter"/>
      <w:lvlText w:val="%2."/>
      <w:lvlJc w:val="left"/>
      <w:pPr>
        <w:ind w:left="1140" w:hanging="360"/>
      </w:pPr>
    </w:lvl>
    <w:lvl w:ilvl="2" w:tentative="0">
      <w:start w:val="1"/>
      <w:numFmt w:val="lowerRoman"/>
      <w:lvlText w:val="%3."/>
      <w:lvlJc w:val="right"/>
      <w:pPr>
        <w:ind w:left="1860" w:hanging="180"/>
      </w:pPr>
    </w:lvl>
    <w:lvl w:ilvl="3" w:tentative="0">
      <w:start w:val="1"/>
      <w:numFmt w:val="decimal"/>
      <w:lvlText w:val="%4."/>
      <w:lvlJc w:val="left"/>
      <w:pPr>
        <w:ind w:left="2580" w:hanging="360"/>
      </w:pPr>
    </w:lvl>
    <w:lvl w:ilvl="4" w:tentative="0">
      <w:start w:val="1"/>
      <w:numFmt w:val="lowerLetter"/>
      <w:lvlText w:val="%5."/>
      <w:lvlJc w:val="left"/>
      <w:pPr>
        <w:ind w:left="3300" w:hanging="360"/>
      </w:pPr>
    </w:lvl>
    <w:lvl w:ilvl="5" w:tentative="0">
      <w:start w:val="1"/>
      <w:numFmt w:val="lowerRoman"/>
      <w:lvlText w:val="%6."/>
      <w:lvlJc w:val="right"/>
      <w:pPr>
        <w:ind w:left="4020" w:hanging="180"/>
      </w:pPr>
    </w:lvl>
    <w:lvl w:ilvl="6" w:tentative="0">
      <w:start w:val="1"/>
      <w:numFmt w:val="decimal"/>
      <w:lvlText w:val="%7."/>
      <w:lvlJc w:val="left"/>
      <w:pPr>
        <w:ind w:left="4740" w:hanging="360"/>
      </w:pPr>
    </w:lvl>
    <w:lvl w:ilvl="7" w:tentative="0">
      <w:start w:val="1"/>
      <w:numFmt w:val="lowerLetter"/>
      <w:lvlText w:val="%8."/>
      <w:lvlJc w:val="left"/>
      <w:pPr>
        <w:ind w:left="5460" w:hanging="360"/>
      </w:pPr>
    </w:lvl>
    <w:lvl w:ilvl="8" w:tentative="0">
      <w:start w:val="1"/>
      <w:numFmt w:val="lowerRoman"/>
      <w:lvlText w:val="%9."/>
      <w:lvlJc w:val="right"/>
      <w:pPr>
        <w:ind w:left="6180" w:hanging="180"/>
      </w:pPr>
    </w:lvl>
  </w:abstractNum>
  <w:abstractNum w:abstractNumId="3">
    <w:nsid w:val="28DA76F0"/>
    <w:multiLevelType w:val="multilevel"/>
    <w:tmpl w:val="28DA76F0"/>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5C4A4F16"/>
    <w:multiLevelType w:val="multilevel"/>
    <w:tmpl w:val="5C4A4F16"/>
    <w:lvl w:ilvl="0" w:tentative="0">
      <w:start w:val="1"/>
      <w:numFmt w:val="decimal"/>
      <w:pStyle w:val="2"/>
      <w:lvlText w:val="CHAPTER %1:"/>
      <w:lvlJc w:val="left"/>
      <w:pPr>
        <w:ind w:left="360" w:hanging="360"/>
      </w:pPr>
      <w:rPr>
        <w:rFonts w:hint="default"/>
      </w:rPr>
    </w:lvl>
    <w:lvl w:ilvl="1" w:tentative="0">
      <w:start w:val="1"/>
      <w:numFmt w:val="decimal"/>
      <w:pStyle w:val="3"/>
      <w:lvlText w:val="%1.%2"/>
      <w:lvlJc w:val="left"/>
      <w:pPr>
        <w:ind w:left="720" w:hanging="720"/>
      </w:pPr>
      <w:rPr>
        <w:rFonts w:hint="default"/>
      </w:rPr>
    </w:lvl>
    <w:lvl w:ilvl="2" w:tentative="0">
      <w:start w:val="1"/>
      <w:numFmt w:val="decimal"/>
      <w:pStyle w:val="4"/>
      <w:lvlText w:val="%1.%2.%3"/>
      <w:lvlJc w:val="left"/>
      <w:pPr>
        <w:ind w:left="1800" w:hanging="1080"/>
      </w:pPr>
      <w:rPr>
        <w:rFonts w:hint="default"/>
      </w:rPr>
    </w:lvl>
    <w:lvl w:ilvl="3" w:tentative="0">
      <w:start w:val="1"/>
      <w:numFmt w:val="decimal"/>
      <w:lvlText w:val="(%4)"/>
      <w:lvlJc w:val="left"/>
      <w:pPr>
        <w:ind w:left="1440" w:hanging="360"/>
      </w:pPr>
      <w:rPr>
        <w:rFonts w:hint="default"/>
      </w:rPr>
    </w:lvl>
    <w:lvl w:ilvl="4" w:tentative="0">
      <w:start w:val="1"/>
      <w:numFmt w:val="lowerLetter"/>
      <w:lvlText w:val="(%5)"/>
      <w:lvlJc w:val="left"/>
      <w:pPr>
        <w:ind w:left="1800" w:hanging="360"/>
      </w:pPr>
      <w:rPr>
        <w:rFonts w:hint="default"/>
      </w:rPr>
    </w:lvl>
    <w:lvl w:ilvl="5" w:tentative="0">
      <w:start w:val="1"/>
      <w:numFmt w:val="lowerRoman"/>
      <w:lvlText w:val="(%6)"/>
      <w:lvlJc w:val="left"/>
      <w:pPr>
        <w:ind w:left="2160" w:hanging="360"/>
      </w:pPr>
      <w:rPr>
        <w:rFonts w:hint="default"/>
      </w:rPr>
    </w:lvl>
    <w:lvl w:ilvl="6" w:tentative="0">
      <w:start w:val="1"/>
      <w:numFmt w:val="decimal"/>
      <w:lvlText w:val="%7."/>
      <w:lvlJc w:val="left"/>
      <w:pPr>
        <w:ind w:left="2520" w:hanging="360"/>
      </w:pPr>
      <w:rPr>
        <w:rFonts w:hint="default"/>
      </w:rPr>
    </w:lvl>
    <w:lvl w:ilvl="7" w:tentative="0">
      <w:start w:val="1"/>
      <w:numFmt w:val="lowerLetter"/>
      <w:lvlText w:val="%8."/>
      <w:lvlJc w:val="left"/>
      <w:pPr>
        <w:ind w:left="2880" w:hanging="360"/>
      </w:pPr>
      <w:rPr>
        <w:rFonts w:hint="default"/>
      </w:rPr>
    </w:lvl>
    <w:lvl w:ilvl="8" w:tentative="0">
      <w:start w:val="1"/>
      <w:numFmt w:val="lowerRoman"/>
      <w:lvlText w:val="%9."/>
      <w:lvlJc w:val="left"/>
      <w:pPr>
        <w:ind w:left="3240" w:hanging="360"/>
      </w:pPr>
      <w:rPr>
        <w:rFonts w:hint="default"/>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753"/>
    <w:rsid w:val="00005CD2"/>
    <w:rsid w:val="00032614"/>
    <w:rsid w:val="00035D0C"/>
    <w:rsid w:val="000608D5"/>
    <w:rsid w:val="000F6989"/>
    <w:rsid w:val="00114898"/>
    <w:rsid w:val="00127793"/>
    <w:rsid w:val="0015304A"/>
    <w:rsid w:val="00154B8B"/>
    <w:rsid w:val="002312C0"/>
    <w:rsid w:val="002334BF"/>
    <w:rsid w:val="002369C0"/>
    <w:rsid w:val="00282D34"/>
    <w:rsid w:val="00290751"/>
    <w:rsid w:val="002B325C"/>
    <w:rsid w:val="002B41D2"/>
    <w:rsid w:val="00300861"/>
    <w:rsid w:val="00320DF1"/>
    <w:rsid w:val="00326F1E"/>
    <w:rsid w:val="003333B5"/>
    <w:rsid w:val="0033452F"/>
    <w:rsid w:val="003475C1"/>
    <w:rsid w:val="00355969"/>
    <w:rsid w:val="00360EB1"/>
    <w:rsid w:val="00361D32"/>
    <w:rsid w:val="0038457A"/>
    <w:rsid w:val="0039485D"/>
    <w:rsid w:val="0048716C"/>
    <w:rsid w:val="00495EE0"/>
    <w:rsid w:val="004E51C4"/>
    <w:rsid w:val="004F34D6"/>
    <w:rsid w:val="00543541"/>
    <w:rsid w:val="005970F3"/>
    <w:rsid w:val="005D1DC7"/>
    <w:rsid w:val="00611CC4"/>
    <w:rsid w:val="006730CF"/>
    <w:rsid w:val="006936EF"/>
    <w:rsid w:val="006A2E4C"/>
    <w:rsid w:val="006A472A"/>
    <w:rsid w:val="006D3BEA"/>
    <w:rsid w:val="0070676F"/>
    <w:rsid w:val="007348BE"/>
    <w:rsid w:val="007413B4"/>
    <w:rsid w:val="00752531"/>
    <w:rsid w:val="0077659E"/>
    <w:rsid w:val="00792F7D"/>
    <w:rsid w:val="007B3B77"/>
    <w:rsid w:val="007B3F37"/>
    <w:rsid w:val="00806CB8"/>
    <w:rsid w:val="00880E3E"/>
    <w:rsid w:val="008B3ACB"/>
    <w:rsid w:val="008D0205"/>
    <w:rsid w:val="008D6070"/>
    <w:rsid w:val="008F5B88"/>
    <w:rsid w:val="00976121"/>
    <w:rsid w:val="009C5753"/>
    <w:rsid w:val="009F22B7"/>
    <w:rsid w:val="00A21DDB"/>
    <w:rsid w:val="00A24237"/>
    <w:rsid w:val="00A455B3"/>
    <w:rsid w:val="00A73BCC"/>
    <w:rsid w:val="00AE21A3"/>
    <w:rsid w:val="00AE2460"/>
    <w:rsid w:val="00B8645F"/>
    <w:rsid w:val="00BB1213"/>
    <w:rsid w:val="00BB2C7A"/>
    <w:rsid w:val="00BB77A5"/>
    <w:rsid w:val="00C376C2"/>
    <w:rsid w:val="00C51915"/>
    <w:rsid w:val="00C57785"/>
    <w:rsid w:val="00C71E42"/>
    <w:rsid w:val="00CB40FB"/>
    <w:rsid w:val="00CD1828"/>
    <w:rsid w:val="00D00FD6"/>
    <w:rsid w:val="00D10809"/>
    <w:rsid w:val="00D5238E"/>
    <w:rsid w:val="00D91917"/>
    <w:rsid w:val="00DD3555"/>
    <w:rsid w:val="00DD4219"/>
    <w:rsid w:val="00E01764"/>
    <w:rsid w:val="00E06278"/>
    <w:rsid w:val="00E72F9A"/>
    <w:rsid w:val="00E82804"/>
    <w:rsid w:val="00E83EC7"/>
    <w:rsid w:val="00EA2D96"/>
    <w:rsid w:val="00EB3AEA"/>
    <w:rsid w:val="00EC64D6"/>
    <w:rsid w:val="00ED1BF5"/>
    <w:rsid w:val="00EF357D"/>
    <w:rsid w:val="00F13C04"/>
    <w:rsid w:val="00F202C3"/>
    <w:rsid w:val="00F3401C"/>
    <w:rsid w:val="00F53254"/>
    <w:rsid w:val="00F6025E"/>
    <w:rsid w:val="00F73D8D"/>
    <w:rsid w:val="00F834CE"/>
    <w:rsid w:val="00F8602C"/>
    <w:rsid w:val="00F86F7C"/>
    <w:rsid w:val="00FC351F"/>
    <w:rsid w:val="00FE012A"/>
    <w:rsid w:val="071826EE"/>
    <w:rsid w:val="09462821"/>
    <w:rsid w:val="0B0D1CA4"/>
    <w:rsid w:val="10242E4C"/>
    <w:rsid w:val="125D2EA0"/>
    <w:rsid w:val="1C4C21B0"/>
    <w:rsid w:val="1C9422BE"/>
    <w:rsid w:val="23656002"/>
    <w:rsid w:val="28DC0597"/>
    <w:rsid w:val="2AF42186"/>
    <w:rsid w:val="3CC51D7D"/>
    <w:rsid w:val="48916080"/>
    <w:rsid w:val="500C469B"/>
    <w:rsid w:val="621928C8"/>
    <w:rsid w:val="6279456A"/>
    <w:rsid w:val="6455203C"/>
    <w:rsid w:val="66666537"/>
    <w:rsid w:val="71D80699"/>
    <w:rsid w:val="7A591AA0"/>
    <w:rsid w:val="7FDC4E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Calibri" w:cs="Arial"/>
      <w:sz w:val="24"/>
      <w:lang w:val="en-US" w:eastAsia="en-US" w:bidi="ar-SA"/>
    </w:rPr>
  </w:style>
  <w:style w:type="paragraph" w:styleId="2">
    <w:name w:val="heading 1"/>
    <w:basedOn w:val="1"/>
    <w:next w:val="1"/>
    <w:link w:val="21"/>
    <w:qFormat/>
    <w:uiPriority w:val="9"/>
    <w:pPr>
      <w:keepNext/>
      <w:keepLines/>
      <w:numPr>
        <w:ilvl w:val="0"/>
        <w:numId w:val="1"/>
      </w:numPr>
      <w:spacing w:before="240" w:line="259" w:lineRule="auto"/>
      <w:outlineLvl w:val="0"/>
    </w:pPr>
    <w:rPr>
      <w:rFonts w:eastAsiaTheme="majorEastAsia" w:cstheme="majorBidi"/>
      <w:b/>
      <w:szCs w:val="32"/>
    </w:rPr>
  </w:style>
  <w:style w:type="paragraph" w:styleId="3">
    <w:name w:val="heading 2"/>
    <w:basedOn w:val="1"/>
    <w:next w:val="1"/>
    <w:link w:val="22"/>
    <w:unhideWhenUsed/>
    <w:uiPriority w:val="9"/>
    <w:pPr>
      <w:keepNext/>
      <w:keepLines/>
      <w:numPr>
        <w:ilvl w:val="1"/>
        <w:numId w:val="1"/>
      </w:numPr>
      <w:spacing w:before="40"/>
      <w:outlineLvl w:val="1"/>
    </w:pPr>
    <w:rPr>
      <w:rFonts w:eastAsiaTheme="majorEastAsia" w:cstheme="majorBidi"/>
      <w:b/>
      <w:szCs w:val="26"/>
    </w:rPr>
  </w:style>
  <w:style w:type="paragraph" w:styleId="4">
    <w:name w:val="heading 3"/>
    <w:basedOn w:val="1"/>
    <w:next w:val="1"/>
    <w:link w:val="23"/>
    <w:unhideWhenUsed/>
    <w:qFormat/>
    <w:uiPriority w:val="9"/>
    <w:pPr>
      <w:keepNext/>
      <w:keepLines/>
      <w:numPr>
        <w:ilvl w:val="2"/>
        <w:numId w:val="1"/>
      </w:numPr>
      <w:spacing w:before="40"/>
      <w:ind w:left="1080"/>
      <w:outlineLvl w:val="2"/>
    </w:pPr>
    <w:rPr>
      <w:rFonts w:eastAsiaTheme="majorEastAsia" w:cstheme="majorBidi"/>
      <w:b/>
      <w:szCs w:val="24"/>
    </w:rPr>
  </w:style>
  <w:style w:type="paragraph" w:styleId="5">
    <w:name w:val="heading 4"/>
    <w:basedOn w:val="1"/>
    <w:next w:val="1"/>
    <w:link w:val="29"/>
    <w:semiHidden/>
    <w:unhideWhenUsed/>
    <w:qFormat/>
    <w:uiPriority w:val="9"/>
    <w:pPr>
      <w:keepNext/>
      <w:keepLines/>
      <w:spacing w:before="40"/>
      <w:outlineLvl w:val="3"/>
    </w:pPr>
    <w:rPr>
      <w:rFonts w:asciiTheme="majorHAnsi" w:hAnsiTheme="majorHAnsi" w:eastAsiaTheme="majorEastAsia" w:cstheme="majorBidi"/>
      <w:i/>
      <w:iCs/>
      <w:color w:val="2F5597" w:themeColor="accent1" w:themeShade="BF"/>
    </w:rPr>
  </w:style>
  <w:style w:type="character" w:default="1" w:styleId="6">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8">
    <w:name w:val="Body Text"/>
    <w:basedOn w:val="1"/>
    <w:link w:val="18"/>
    <w:unhideWhenUsed/>
    <w:qFormat/>
    <w:uiPriority w:val="1"/>
    <w:pPr>
      <w:widowControl w:val="0"/>
      <w:autoSpaceDE w:val="0"/>
      <w:autoSpaceDN w:val="0"/>
    </w:pPr>
    <w:rPr>
      <w:rFonts w:eastAsia="Times New Roman" w:cs="Times New Roman"/>
      <w:i/>
      <w:szCs w:val="24"/>
    </w:rPr>
  </w:style>
  <w:style w:type="paragraph" w:styleId="9">
    <w:name w:val="caption"/>
    <w:basedOn w:val="1"/>
    <w:next w:val="1"/>
    <w:unhideWhenUsed/>
    <w:qFormat/>
    <w:uiPriority w:val="35"/>
    <w:pPr>
      <w:autoSpaceDE w:val="0"/>
      <w:autoSpaceDN w:val="0"/>
      <w:adjustRightInd w:val="0"/>
      <w:spacing w:after="200"/>
    </w:pPr>
    <w:rPr>
      <w:rFonts w:cs="Courier New" w:eastAsiaTheme="minorHAnsi"/>
      <w:b/>
      <w:bCs/>
      <w:i/>
      <w:iCs/>
      <w:color w:val="000000"/>
    </w:rPr>
  </w:style>
  <w:style w:type="paragraph" w:styleId="10">
    <w:name w:val="footer"/>
    <w:basedOn w:val="1"/>
    <w:link w:val="20"/>
    <w:unhideWhenUsed/>
    <w:qFormat/>
    <w:uiPriority w:val="99"/>
    <w:pPr>
      <w:tabs>
        <w:tab w:val="center" w:pos="4680"/>
        <w:tab w:val="right" w:pos="9360"/>
      </w:tabs>
    </w:pPr>
  </w:style>
  <w:style w:type="paragraph" w:styleId="11">
    <w:name w:val="header"/>
    <w:basedOn w:val="1"/>
    <w:link w:val="19"/>
    <w:unhideWhenUsed/>
    <w:qFormat/>
    <w:uiPriority w:val="99"/>
    <w:pPr>
      <w:tabs>
        <w:tab w:val="center" w:pos="4680"/>
        <w:tab w:val="right" w:pos="9360"/>
      </w:tabs>
    </w:pPr>
  </w:style>
  <w:style w:type="character" w:styleId="12">
    <w:name w:val="Hyperlink"/>
    <w:basedOn w:val="6"/>
    <w:unhideWhenUsed/>
    <w:qFormat/>
    <w:uiPriority w:val="99"/>
    <w:rPr>
      <w:color w:val="0563C1" w:themeColor="hyperlink"/>
      <w:u w:val="single"/>
      <w14:textFill>
        <w14:solidFill>
          <w14:schemeClr w14:val="hlink"/>
        </w14:solidFill>
      </w14:textFill>
    </w:rPr>
  </w:style>
  <w:style w:type="paragraph" w:styleId="13">
    <w:name w:val="Normal (Web)"/>
    <w:basedOn w:val="1"/>
    <w:unhideWhenUsed/>
    <w:uiPriority w:val="99"/>
    <w:pPr>
      <w:spacing w:before="100" w:beforeAutospacing="1" w:after="100" w:afterAutospacing="1"/>
    </w:pPr>
    <w:rPr>
      <w:rFonts w:eastAsia="Times New Roman" w:cs="Times New Roman"/>
      <w:szCs w:val="24"/>
    </w:rPr>
  </w:style>
  <w:style w:type="table" w:styleId="14">
    <w:name w:val="Table Grid"/>
    <w:basedOn w:val="7"/>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15">
    <w:name w:val="toc 1"/>
    <w:basedOn w:val="1"/>
    <w:next w:val="1"/>
    <w:unhideWhenUsed/>
    <w:uiPriority w:val="39"/>
  </w:style>
  <w:style w:type="paragraph" w:styleId="16">
    <w:name w:val="toc 2"/>
    <w:basedOn w:val="1"/>
    <w:next w:val="1"/>
    <w:unhideWhenUsed/>
    <w:uiPriority w:val="39"/>
    <w:pPr>
      <w:ind w:left="420" w:leftChars="200"/>
    </w:pPr>
  </w:style>
  <w:style w:type="paragraph" w:styleId="17">
    <w:name w:val="toc 3"/>
    <w:basedOn w:val="1"/>
    <w:next w:val="1"/>
    <w:unhideWhenUsed/>
    <w:uiPriority w:val="39"/>
    <w:pPr>
      <w:ind w:left="840" w:leftChars="400"/>
    </w:pPr>
  </w:style>
  <w:style w:type="character" w:customStyle="1" w:styleId="18">
    <w:name w:val="Body Text Char"/>
    <w:basedOn w:val="6"/>
    <w:link w:val="8"/>
    <w:qFormat/>
    <w:uiPriority w:val="1"/>
    <w:rPr>
      <w:rFonts w:ascii="Times New Roman" w:hAnsi="Times New Roman" w:eastAsia="Times New Roman" w:cs="Times New Roman"/>
      <w:i/>
      <w:sz w:val="24"/>
      <w:szCs w:val="24"/>
    </w:rPr>
  </w:style>
  <w:style w:type="character" w:customStyle="1" w:styleId="19">
    <w:name w:val="Header Char"/>
    <w:basedOn w:val="6"/>
    <w:link w:val="11"/>
    <w:qFormat/>
    <w:uiPriority w:val="99"/>
    <w:rPr>
      <w:rFonts w:ascii="Calibri" w:hAnsi="Calibri" w:eastAsia="Calibri" w:cs="Arial"/>
      <w:sz w:val="20"/>
      <w:szCs w:val="20"/>
    </w:rPr>
  </w:style>
  <w:style w:type="character" w:customStyle="1" w:styleId="20">
    <w:name w:val="Footer Char"/>
    <w:basedOn w:val="6"/>
    <w:link w:val="10"/>
    <w:qFormat/>
    <w:uiPriority w:val="99"/>
    <w:rPr>
      <w:rFonts w:ascii="Calibri" w:hAnsi="Calibri" w:eastAsia="Calibri" w:cs="Arial"/>
      <w:sz w:val="20"/>
      <w:szCs w:val="20"/>
    </w:rPr>
  </w:style>
  <w:style w:type="character" w:customStyle="1" w:styleId="21">
    <w:name w:val="Heading 1 Char"/>
    <w:basedOn w:val="6"/>
    <w:link w:val="2"/>
    <w:qFormat/>
    <w:uiPriority w:val="9"/>
    <w:rPr>
      <w:rFonts w:ascii="Times New Roman" w:hAnsi="Times New Roman" w:eastAsiaTheme="majorEastAsia" w:cstheme="majorBidi"/>
      <w:b/>
      <w:sz w:val="24"/>
      <w:szCs w:val="32"/>
    </w:rPr>
  </w:style>
  <w:style w:type="character" w:customStyle="1" w:styleId="22">
    <w:name w:val="Heading 2 Char"/>
    <w:basedOn w:val="6"/>
    <w:link w:val="3"/>
    <w:qFormat/>
    <w:uiPriority w:val="9"/>
    <w:rPr>
      <w:rFonts w:ascii="Times New Roman" w:hAnsi="Times New Roman" w:eastAsiaTheme="majorEastAsia" w:cstheme="majorBidi"/>
      <w:b/>
      <w:sz w:val="24"/>
      <w:szCs w:val="26"/>
    </w:rPr>
  </w:style>
  <w:style w:type="character" w:customStyle="1" w:styleId="23">
    <w:name w:val="Heading 3 Char"/>
    <w:basedOn w:val="6"/>
    <w:link w:val="4"/>
    <w:qFormat/>
    <w:uiPriority w:val="9"/>
    <w:rPr>
      <w:rFonts w:ascii="Times New Roman" w:hAnsi="Times New Roman" w:eastAsiaTheme="majorEastAsia" w:cstheme="majorBidi"/>
      <w:b/>
      <w:sz w:val="24"/>
      <w:szCs w:val="24"/>
    </w:rPr>
  </w:style>
  <w:style w:type="paragraph" w:styleId="24">
    <w:name w:val="List Paragraph"/>
    <w:basedOn w:val="1"/>
    <w:qFormat/>
    <w:uiPriority w:val="34"/>
    <w:pPr>
      <w:ind w:left="720"/>
      <w:contextualSpacing/>
    </w:pPr>
  </w:style>
  <w:style w:type="table" w:customStyle="1" w:styleId="25">
    <w:name w:val="Table Grid Light1"/>
    <w:basedOn w:val="7"/>
    <w:qFormat/>
    <w:uiPriority w:val="40"/>
    <w:pPr>
      <w:spacing w:after="0" w:line="240" w:lineRule="auto"/>
    </w:pPr>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
  </w:style>
  <w:style w:type="table" w:customStyle="1" w:styleId="26">
    <w:name w:val="Grid Table 1 Light - Accent 11"/>
    <w:basedOn w:val="7"/>
    <w:qFormat/>
    <w:uiPriority w:val="46"/>
    <w:pPr>
      <w:spacing w:after="0" w:line="240" w:lineRule="auto"/>
    </w:pPr>
    <w:tblPr>
      <w:tblBorders>
        <w:top w:val="single" w:color="B4C6E7" w:themeColor="accent1" w:themeTint="66" w:sz="4" w:space="0"/>
        <w:left w:val="single" w:color="B4C6E7" w:themeColor="accent1" w:themeTint="66" w:sz="4" w:space="0"/>
        <w:bottom w:val="single" w:color="B4C6E7" w:themeColor="accent1" w:themeTint="66" w:sz="4" w:space="0"/>
        <w:right w:val="single" w:color="B4C6E7" w:themeColor="accent1" w:themeTint="66" w:sz="4" w:space="0"/>
        <w:insideH w:val="single" w:color="B4C6E7" w:themeColor="accent1" w:themeTint="66" w:sz="4" w:space="0"/>
        <w:insideV w:val="single" w:color="B4C6E7" w:themeColor="accent1" w:themeTint="66" w:sz="4" w:space="0"/>
      </w:tblBorders>
      <w:tblCellMar>
        <w:top w:w="0" w:type="dxa"/>
        <w:left w:w="108" w:type="dxa"/>
        <w:bottom w:w="0" w:type="dxa"/>
        <w:right w:w="108" w:type="dxa"/>
      </w:tblCellMar>
    </w:tblPr>
    <w:tblStylePr w:type="firstRow">
      <w:rPr>
        <w:b/>
        <w:bCs/>
      </w:rPr>
      <w:tcPr>
        <w:tcBorders>
          <w:bottom w:val="single" w:color="8EAADB" w:themeColor="accent1" w:themeTint="99" w:sz="12" w:space="0"/>
        </w:tcBorders>
      </w:tcPr>
    </w:tblStylePr>
    <w:tblStylePr w:type="lastRow">
      <w:rPr>
        <w:b/>
        <w:bCs/>
      </w:rPr>
      <w:tcPr>
        <w:tcBorders>
          <w:top w:val="double" w:color="8EAADB" w:themeColor="accent1" w:themeTint="99" w:sz="2" w:space="0"/>
        </w:tcBorders>
      </w:tcPr>
    </w:tblStylePr>
    <w:tblStylePr w:type="firstCol">
      <w:rPr>
        <w:b/>
        <w:bCs/>
      </w:rPr>
    </w:tblStylePr>
    <w:tblStylePr w:type="lastCol">
      <w:rPr>
        <w:b/>
        <w:bCs/>
      </w:rPr>
    </w:tblStylePr>
  </w:style>
  <w:style w:type="table" w:customStyle="1" w:styleId="27">
    <w:name w:val="Grid Table 1 Light1"/>
    <w:basedOn w:val="7"/>
    <w:qFormat/>
    <w:uiPriority w:val="46"/>
    <w:pPr>
      <w:spacing w:after="0" w:line="240" w:lineRule="auto"/>
    </w:pPr>
    <w:tblPr>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
    <w:tblStylePr w:type="firstRow">
      <w:rPr>
        <w:b/>
        <w:bCs/>
      </w:rPr>
      <w:tcPr>
        <w:tcBorders>
          <w:bottom w:val="single" w:color="666666" w:themeColor="text1" w:themeTint="99" w:sz="12" w:space="0"/>
        </w:tcBorders>
      </w:tcPr>
    </w:tblStylePr>
    <w:tblStylePr w:type="lastRow">
      <w:rPr>
        <w:b/>
        <w:bCs/>
      </w:rPr>
      <w:tcPr>
        <w:tcBorders>
          <w:top w:val="double" w:color="666666" w:themeColor="text1" w:themeTint="99" w:sz="2" w:space="0"/>
        </w:tcBorders>
      </w:tcPr>
    </w:tblStylePr>
    <w:tblStylePr w:type="firstCol">
      <w:rPr>
        <w:b/>
        <w:bCs/>
      </w:rPr>
    </w:tblStylePr>
    <w:tblStylePr w:type="lastCol">
      <w:rPr>
        <w:b/>
        <w:bCs/>
      </w:rPr>
    </w:tblStylePr>
  </w:style>
  <w:style w:type="paragraph" w:customStyle="1" w:styleId="28">
    <w:name w:val="Bibliography1"/>
    <w:basedOn w:val="1"/>
    <w:next w:val="1"/>
    <w:unhideWhenUsed/>
    <w:qFormat/>
    <w:uiPriority w:val="37"/>
  </w:style>
  <w:style w:type="character" w:customStyle="1" w:styleId="29">
    <w:name w:val="Heading 4 Char"/>
    <w:basedOn w:val="6"/>
    <w:link w:val="5"/>
    <w:semiHidden/>
    <w:qFormat/>
    <w:uiPriority w:val="9"/>
    <w:rPr>
      <w:rFonts w:asciiTheme="majorHAnsi" w:hAnsiTheme="majorHAnsi" w:eastAsiaTheme="majorEastAsia" w:cstheme="majorBidi"/>
      <w:i/>
      <w:iCs/>
      <w:color w:val="2F5597" w:themeColor="accent1" w:themeShade="BF"/>
      <w:sz w:val="20"/>
      <w:szCs w:val="20"/>
    </w:rPr>
  </w:style>
  <w:style w:type="paragraph" w:customStyle="1" w:styleId="30">
    <w:name w:val="Heading 11"/>
    <w:basedOn w:val="2"/>
    <w:link w:val="31"/>
    <w:qFormat/>
    <w:uiPriority w:val="0"/>
    <w:pPr>
      <w:numPr>
        <w:numId w:val="0"/>
      </w:numPr>
      <w:ind w:left="360" w:hanging="360"/>
    </w:pPr>
  </w:style>
  <w:style w:type="character" w:customStyle="1" w:styleId="31">
    <w:name w:val="heading 1 Char"/>
    <w:basedOn w:val="21"/>
    <w:link w:val="30"/>
    <w:qFormat/>
    <w:uiPriority w:val="0"/>
    <w:rPr>
      <w:rFonts w:ascii="Times New Roman" w:hAnsi="Times New Roman" w:eastAsiaTheme="majorEastAsia" w:cstheme="majorBidi"/>
      <w:sz w:val="24"/>
      <w:szCs w:val="32"/>
    </w:rPr>
  </w:style>
  <w:style w:type="paragraph" w:customStyle="1" w:styleId="32">
    <w:name w:val="WPSOffice Manual Table 1"/>
    <w:uiPriority w:val="0"/>
    <w:pPr>
      <w:spacing w:after="160" w:line="259" w:lineRule="auto"/>
    </w:pPr>
    <w:rPr>
      <w:rFonts w:asciiTheme="minorHAnsi" w:hAnsiTheme="minorHAnsi" w:eastAsiaTheme="minorHAnsi" w:cstheme="minorBidi"/>
      <w:lang w:val="en-US" w:eastAsia="en-US" w:bidi="ar-SA"/>
    </w:rPr>
  </w:style>
  <w:style w:type="paragraph" w:customStyle="1" w:styleId="33">
    <w:name w:val="Bibliography2"/>
    <w:basedOn w:val="1"/>
    <w:next w:val="1"/>
    <w:unhideWhenUsed/>
    <w:uiPriority w:val="37"/>
  </w:style>
  <w:style w:type="paragraph" w:customStyle="1" w:styleId="34">
    <w:name w:val="TOC Heading1"/>
    <w:basedOn w:val="2"/>
    <w:next w:val="1"/>
    <w:unhideWhenUsed/>
    <w:qFormat/>
    <w:uiPriority w:val="39"/>
    <w:pPr>
      <w:numPr>
        <w:numId w:val="0"/>
      </w:numPr>
      <w:outlineLvl w:val="9"/>
    </w:pPr>
    <w:rPr>
      <w:rFonts w:asciiTheme="majorHAnsi" w:hAnsiTheme="majorHAnsi"/>
      <w:b w:val="0"/>
      <w:color w:val="2F5597" w:themeColor="accent1" w:themeShade="BF"/>
      <w:sz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Mar982</b:Tag>
    <b:SourceType>JournalArticle</b:SourceType>
    <b:Guid>{DB26BE2F-65B8-4AA3-A048-B01B2D2E6EBC}</b:Guid>
    <b:Author>
      <b:Author>
        <b:NameList>
          <b:Person>
            <b:Last>Marguerite</b:Last>
          </b:Person>
        </b:NameList>
      </b:Author>
    </b:Author>
    <b:JournalName>Impact of Microfinance Services on Growth of Micro Small and Medium</b:JournalName>
    <b:Year> 1998</b:Year>
    <b:RefOrder>1</b:RefOrder>
  </b:Source>
  <b:Source>
    <b:Tag>AMA08</b:Tag>
    <b:SourceType>JournalArticle</b:SourceType>
    <b:Guid>{7340AAB8-E549-427F-BF40-C8A575404C1D}</b:Guid>
    <b:Author>
      <b:Author>
        <b:NameList>
          <b:Person>
            <b:Last>A. M.Adam &amp; G.Tweneboah</b:Last>
          </b:Person>
        </b:NameList>
      </b:Author>
    </b:Author>
    <b:Title>Macroeconomic Factors and Stock Market Movement: Evidence from Ghana</b:Title>
    <b:JournalName>SSRN Electronic Journal </b:JournalName>
    <b:Year>2008</b:Year>
    <b:Pages>1-26</b:Pages>
    <b:RefOrder>2</b:RefOrder>
  </b:Source>
  <b:Source>
    <b:Tag>Gov07</b:Tag>
    <b:SourceType>ConferenceProceedings</b:SourceType>
    <b:Guid>{82B923ED-C103-4A81-9348-8979768B0190}</b:Guid>
    <b:Title>Government of India</b:Title>
    <b:Year>2007</b:Year>
    <b:City>TN Industrial Policy – 2007. Investment Friendly: MCC1. NewDelhi, India: Government of India</b:City>
    <b:RefOrder>4</b:RefOrder>
  </b:Source>
  <b:Source>
    <b:Tag>Rek08</b:Tag>
    <b:SourceType>Book</b:SourceType>
    <b:Guid>{09DFE07E-4DC2-4893-B579-823688F237A6}</b:Guid>
    <b:Title>Strategies for effective loan delivery to small scale enterprises</b:Title>
    <b:Year>2008</b:Year>
    <b:Author>
      <b:Author>
        <b:NameList>
          <b:Person>
            <b:Last>Pioty</b:Last>
            <b:First>Rekowski</b:First>
            <b:Middle>and</b:Middle>
          </b:Person>
        </b:NameList>
      </b:Author>
    </b:Author>
    <b:RefOrder>5</b:RefOrder>
  </b:Source>
  <b:Source>
    <b:Tag>Placeholder1</b:Tag>
    <b:SourceType>JournalArticle</b:SourceType>
    <b:Guid>{4C3B1524-3AB1-4E45-A863-D1FA0AA125A2}</b:Guid>
    <b:Author>
      <b:Author>
        <b:NameList>
          <b:Person>
            <b:Last>Marguerite</b:Last>
          </b:Person>
        </b:NameList>
      </b:Author>
    </b:Author>
    <b:Title>Impact of Microfinance Services on Growth of Micro Small and Medium. </b:Title>
    <b:JournalName>Journal of Management and Tourism Research.</b:JournalName>
    <b:Year>1998</b:Year>
    <b:RefOrder>6</b:RefOrder>
  </b:Source>
  <b:Source>
    <b:Tag>gvg</b:Tag>
    <b:SourceType>Book</b:SourceType>
    <b:Guid>{6EE7429D-0656-4EBE-95BA-962C02D35181}</b:Guid>
    <b:Author>
      <b:Author>
        <b:NameList>
          <b:Person>
            <b:Last>gvgguy</b:Last>
          </b:Person>
        </b:NameList>
      </b:Author>
    </b:Author>
    <b:Title>huihujh</b:Title>
    <b:City>hbhby</b:City>
    <b:RefOrder>7</b:RefOrder>
  </b:Source>
  <b:Source>
    <b:Tag>Sch13</b:Tag>
    <b:SourceType>JournalArticle</b:SourceType>
    <b:Guid>{9942E907-204A-47F6-9564-929ECE5D343C}</b:Guid>
    <b:Author>
      <b:Author>
        <b:NameList>
          <b:Person>
            <b:Last>Schicks</b:Last>
          </b:Person>
        </b:NameList>
      </b:Author>
    </b:Author>
    <b:Title>The definition and causes of microfinance over-indebtedness</b:Title>
    <b:JournalName>A customer protection point of view. Oxford development studies, 41(sup1), S95-S116.</b:JournalName>
    <b:Year>2013</b:Year>
    <b:RefOrder>8</b:RefOrder>
  </b:Source>
  <b:Source>
    <b:Tag>CSR15</b:Tag>
    <b:SourceType>Book</b:SourceType>
    <b:Guid>{5A763926-68AC-4AD4-88C2-FE4C13BEC230}</b:Guid>
    <b:Author>
      <b:Author>
        <b:NameList>
          <b:Person>
            <b:Last>Manak</b:Last>
            <b:First>C.</b:First>
            <b:Middle>S. Reddy &amp; S.</b:Middle>
          </b:Person>
        </b:NameList>
      </b:Author>
    </b:Author>
    <b:Title>Self-help groups: A keystone of microfinance in India-women empowerment and social security</b:Title>
    <b:Year>2015</b:Year>
    <b:City>Andhra Pradesh Mahila Abhivruddhi Society (APMAS). India: Hyderabad</b:City>
    <b:RefOrder>9</b:RefOrder>
  </b:Source>
  <b:Source>
    <b:Tag>SBa06</b:Tag>
    <b:SourceType>JournalArticle</b:SourceType>
    <b:Guid>{675CC1BD-CBA3-4816-89B5-E2CA48646551}</b:Guid>
    <b:Author>
      <b:Author>
        <b:NameList>
          <b:Person>
            <b:Last>S.Bakhtiari</b:Last>
          </b:Person>
        </b:NameList>
      </b:Author>
    </b:Author>
    <b:Title>Microfinance and poverty reduction: some international evidence</b:Title>
    <b:JournalName>International Business &amp; Economics Research Journal (IBER), 5(12)</b:JournalName>
    <b:Year>2006</b:Year>
    <b:RefOrder>10</b:RefOrder>
  </b:Source>
  <b:Source>
    <b:Tag>JNC12</b:Tag>
    <b:SourceType>Book</b:SourceType>
    <b:Guid>{848DD22A-6D87-4401-95A2-053E91CE12AE}</b:Guid>
    <b:Author>
      <b:Author>
        <b:NameList>
          <b:Person>
            <b:Last>Zhiri</b:Last>
            <b:First>J.</b:First>
            <b:Middle>N. Cooper Danjuma &amp;</b:Middle>
          </b:Person>
        </b:NameList>
      </b:Author>
    </b:Author>
    <b:Title>The impact of microfinance services on the growth of small and medium enterprises in Kenya. (Doctoral dissertation, University of Nairobi, Kenya)</b:Title>
    <b:Year>2012</b:Year>
    <b:RefOrder>11</b:RefOrder>
  </b:Source>
  <b:Source>
    <b:Tag>Hol</b:Tag>
    <b:SourceType>Book</b:SourceType>
    <b:Guid>{3EEA2A09-FB38-4EF9-AFFF-53D1EEA0ED4A}</b:Guid>
    <b:Title>Small businesses in the rural sector of Malaysia. Asian Business &amp; Management, 4(4), 455-479</b:Title>
    <b:Author>
      <b:Author>
        <b:NameList>
          <b:Person>
            <b:Last>Sweetman</b:Last>
            <b:First>Hollis</b:First>
            <b:Middle>&amp;</b:Middle>
          </b:Person>
        </b:NameList>
      </b:Author>
    </b:Author>
    <b:RefOrder>13</b:RefOrder>
  </b:Source>
  <b:Source>
    <b:Tag>CSh02</b:Tag>
    <b:SourceType>JournalArticle</b:SourceType>
    <b:Guid>{ACEE3064-0E04-42C4-BC12-D76A0AEC64B3}</b:Guid>
    <b:Author>
      <b:Author>
        <b:NameList>
          <b:Person>
            <b:Last>Sharma's</b:Last>
            <b:First>C.</b:First>
            <b:Middle>Churchill</b:Middle>
          </b:Person>
        </b:NameList>
      </b:Author>
    </b:Author>
    <b:Title>the demand for micro insurance</b:Title>
    <b:Year>2002</b:Year>
    <b:City>2015</b:City>
    <b:JournalName>Journal of International Development, 14(3), 381</b:JournalName>
    <b:RefOrder>14</b:RefOrder>
  </b:Source>
  <b:Source>
    <b:Tag>IRo15</b:Tag>
    <b:SourceType>JournalArticle</b:SourceType>
    <b:Guid>{EB967746-E910-487A-B180-59D863BBF1F2}</b:Guid>
    <b:Author>
      <b:Author>
        <b:NameList>
          <b:Person>
            <b:Last>I. Rotich</b:Last>
            <b:First>C.</b:First>
            <b:Middle>Lagat &amp; J. Kogei</b:Middle>
          </b:Person>
        </b:NameList>
      </b:Author>
    </b:Author>
    <b:Title>Effects of microfinance services on the performance of small and medium enterprises in Kenya</b:Title>
    <b:Pages>206-211</b:Pages>
    <b:Year>2015</b:Year>
    <b:JournalName>African Journal of Business Management, 9(5), </b:JournalName>
    <b:RefOrder>15</b:RefOrder>
  </b:Source>
  <b:Source>
    <b:Tag>PRS15</b:Tag>
    <b:SourceType>JournalArticle</b:SourceType>
    <b:Guid>{9CE55CF0-3312-479D-B057-E0CDFFB57A54}</b:Guid>
    <b:Author>
      <b:Author>
        <b:NameList>
          <b:Person>
            <b:Last>Sharma</b:Last>
            <b:First>P.</b:First>
            <b:Middle>R.</b:Middle>
          </b:Person>
        </b:NameList>
      </b:Author>
    </b:Author>
    <b:Title>An Empirical overview of Microenterprises and Microfinance Development in Nepal </b:Title>
    <b:JournalName> The Journal of Nepalese Bussiness Studies </b:JournalName>
    <b:Year>2015</b:Year>
    <b:RefOrder>16</b:RefOrder>
  </b:Source>
  <b:Source>
    <b:Tag>WRa</b:Tag>
    <b:SourceType>JournalArticle</b:SourceType>
    <b:Guid>{2511D01A-6DE7-408E-9FC7-409AC2FDC1BA}</b:Guid>
    <b:Title>The Role of Micro Finance Institutions on the Development of Micro Enterprises (MEs) in Sri Lanka</b:Title>
    <b:Author>
      <b:Author>
        <b:NameList>
          <b:Person>
            <b:Last>W.Rajapakshe</b:Last>
          </b:Person>
        </b:NameList>
      </b:Author>
    </b:Author>
    <b:JournalName>South Asian Journal of Social Studies and Economics , 1-17</b:JournalName>
    <b:RefOrder>18</b:RefOrder>
  </b:Source>
  <b:Source>
    <b:Tag>MRR19</b:Tag>
    <b:SourceType>JournalArticle</b:SourceType>
    <b:Guid>{81BB08EF-84E5-4722-8CAA-42C0C13937F9}</b:Guid>
    <b:Author>
      <b:Author>
        <b:NameList>
          <b:Person>
            <b:Last>Dissanayake</b:Last>
            <b:First>M.</b:First>
            <b:Middle>R. Rassool &amp; D.</b:Middle>
          </b:Person>
        </b:NameList>
      </b:Author>
    </b:Author>
    <b:Title>Digital transformation for small &amp; medium enterprises (Smes): with special focus on Sri Lankan context as an emerging economy</b:Title>
    <b:JournalName>International Journal of Business and Management Review</b:JournalName>
    <b:Year>2019</b:Year>
    <b:Pages>59-76</b:Pages>
    <b:RefOrder>19</b:RefOrder>
  </b:Source>
  <b:Source>
    <b:Tag>GKu16</b:Tag>
    <b:SourceType>JournalArticle</b:SourceType>
    <b:Guid>{DB379CCC-E482-4B2B-9678-8EB42AE23D1F}</b:Guid>
    <b:Author>
      <b:Author>
        <b:NameList>
          <b:Person>
            <b:Last>Azeez</b:Last>
            <b:First>G.</b:First>
            <b:Middle>Kuruppu &amp; A.</b:Middle>
          </b:Person>
        </b:NameList>
      </b:Author>
    </b:Author>
    <b:Title> Financing Preferences of Small and Medium Enterprise Owners of Sri Lanka</b:Title>
    <b:JournalName>Journal of Business &amp; Economic Policy, 3(2)</b:JournalName>
    <b:Year>2016</b:Year>
    <b:Pages>79-92</b:Pages>
    <b:RefOrder>20</b:RefOrder>
  </b:Source>
  <b:Source>
    <b:Tag>Pon00</b:Tag>
    <b:SourceType>JournalArticle</b:SourceType>
    <b:Guid>{29C78CAF-7B5D-4BAA-9AAF-C37394516228}</b:Guid>
    <b:Author>
      <b:Author>
        <b:NameList>
          <b:Person>
            <b:Last>Ponnamperuma</b:Last>
          </b:Person>
        </b:NameList>
      </b:Author>
    </b:Author>
    <b:Title>Impact of Microfinance Services on Growth of Micro Small and Medium</b:Title>
    <b:JournalName>Journal of Management and Tourism Research</b:JournalName>
    <b:Year>2000</b:Year>
    <b:RefOrder>21</b:RefOrder>
  </b:Source>
  <b:Source>
    <b:Tag>RMH01</b:Tag>
    <b:SourceType>Book</b:SourceType>
    <b:Guid>{10F2536E-12FB-41AB-A34D-5AA185DF8EBD}</b:Guid>
    <b:Title>Export Orientation for Small and Medium enterprises, Policies, Strategies and Programs, Asian productivity organization</b:Title>
    <b:Year>2001</b:Year>
    <b:Author>
      <b:Author>
        <b:NameList>
          <b:Person>
            <b:Last>Hewaliyanage</b:Last>
            <b:First>R.M.</b:First>
          </b:Person>
        </b:NameList>
      </b:Author>
    </b:Author>
    <b:RefOrder>22</b:RefOrder>
  </b:Source>
  <b:Source>
    <b:Tag>Mam02</b:Tag>
    <b:SourceType>JournalArticle</b:SourceType>
    <b:Guid>{1A9CB8BE-7FDF-4174-9FD4-0DA0D67A124E}</b:Guid>
    <b:Author>
      <b:Author>
        <b:NameList>
          <b:Person>
            <b:Last>Mambula</b:Last>
          </b:Person>
        </b:NameList>
      </b:Author>
    </b:Author>
    <b:Title>Impact of Microfinance Services on Growth of Micro Small and Medium</b:Title>
    <b:JournalName>Journal of Management and Tourism Research</b:JournalName>
    <b:Year>2002</b:Year>
    <b:RefOrder>23</b:RefOrder>
  </b:Source>
  <b:Source>
    <b:Tag>JAm12</b:Tag>
    <b:SourceType>JournalArticle</b:SourceType>
    <b:Guid>{87F4167B-1999-4742-9A1C-299CC2AE976C}</b:Guid>
    <b:Title>the Impact of Income Diversification on Bank Performance</b:Title>
    <b:CaseNumber>a Case Study of Zenith Bank, Cal Bank and Unibank. September</b:CaseNumber>
    <b:Year>2012</b:Year>
    <b:Author>
      <b:Author>
        <b:NameList>
          <b:Person>
            <b:Last>Amediku</b:Last>
            <b:First>J.</b:First>
          </b:Person>
        </b:NameList>
      </b:Author>
    </b:Author>
    <b:JournalName> a Case Study of Zenith Bank, Cal Bank and Unibank. September.</b:JournalName>
    <b:RefOrder>24</b:RefOrder>
  </b:Source>
  <b:Source>
    <b:Tag>ACS03</b:Tag>
    <b:SourceType>JournalArticle</b:SourceType>
    <b:Guid>{953DF77C-8837-4207-9EBC-80012242929E}</b:Guid>
    <b:Author>
      <b:Author>
        <b:NameList>
          <b:Person>
            <b:Last>Schindler</b:Last>
            <b:First>A.C.</b:First>
          </b:Person>
        </b:NameList>
      </b:Author>
    </b:Author>
    <b:Title>Effects of Microfinance Institutions’ Products on Financial Performance of Small and Medium Enterprises.</b:Title>
    <b:JournalName> IOSR Journal of Business and Management (IOSR-JBM).</b:JournalName>
    <b:Year>2003</b:Year>
    <b:RefOrder>25</b:RefOrder>
  </b:Source>
  <b:Source>
    <b:Tag>USe03</b:Tag>
    <b:SourceType>JournalArticle</b:SourceType>
    <b:Guid>{23F140F5-048E-425E-B5B9-2907A0097A4F}</b:Guid>
    <b:Author>
      <b:Author>
        <b:NameList>
          <b:Person>
            <b:Last>Sekaran</b:Last>
            <b:First>U.</b:First>
          </b:Person>
        </b:NameList>
      </b:Author>
    </b:Author>
    <b:Title>Research and Markets: Research Methods for Business - A Skill Building Approach. </b:Title>
    <b:Year>2003</b:Year>
    <b:Pages>In John Wiley &amp; Sons. https://doi.org/http://dx.doi.org/10.1108/17506200710779521</b:Pages>
    <b:RefOrder>26</b:RefOrder>
  </b:Source>
  <b:Source>
    <b:Tag>MSa03</b:Tag>
    <b:SourceType>JournalArticle</b:SourceType>
    <b:Guid>{ACAD055C-BE96-44B7-93BE-96CD34E7BF63}</b:Guid>
    <b:Author>
      <b:Author>
        <b:NameList>
          <b:Person>
            <b:Last>M. Saunders</b:Last>
            <b:First>P.</b:First>
            <b:Middle>Lewis, &amp; A. Thornhill</b:Middle>
          </b:Person>
        </b:NameList>
      </b:Author>
    </b:Author>
    <b:Title>Research methods for business students. </b:Title>
    <b:JournalName>In Essex: Prentice Hall: Financial Times.</b:JournalName>
    <b:Year>2003</b:Year>
    <b:RefOrder>27</b:RefOrder>
  </b:Source>
  <b:Source>
    <b:Tag>Geo03</b:Tag>
    <b:SourceType>JournalArticle</b:SourceType>
    <b:Guid>{D8ED871B-0565-48BC-A7BA-A548124B3C3C}</b:Guid>
    <b:Author>
      <b:Author>
        <b:NameList>
          <b:Person>
            <b:Last>Mallery</b:Last>
            <b:First>George</b:First>
            <b:Middle>and</b:Middle>
          </b:Person>
        </b:NameList>
      </b:Author>
    </b:Author>
    <b:Title>Candidate Surveys on Program Evaluation: Examining Instrument Reliability, Validity and Program Effectiveness</b:Title>
    <b:JournalName>Science and Education Publishing From Scientific Reearch to Knowledge</b:JournalName>
    <b:Year>2003</b:Year>
    <b:RefOrder>28</b:RefOrder>
  </b:Source>
  <b:Source>
    <b:Tag>JOm19</b:Tag>
    <b:SourceType>JournalArticle</b:SourceType>
    <b:Guid>{FD8F918C-C35B-4A02-AC61-AC11E502AA1F}</b:Guid>
    <b:Author>
      <b:Author>
        <b:NameList>
          <b:Person>
            <b:Last>J. Omagwa</b:Last>
            <b:First>&amp;</b:First>
            <b:Middle>Kirima George Mutuma</b:Middle>
          </b:Person>
        </b:NameList>
      </b:Author>
    </b:Author>
    <b:Title>Microfinance Services and Financial Performance of Small and Medium Enterprises in Meru Town, Kenya</b:Title>
    <b:Year>2019</b:Year>
    <b:RefOrder>29</b:RefOrder>
  </b:Source>
  <b:Source>
    <b:Tag>Placeholder2</b:Tag>
    <b:SourceType>JournalArticle</b:SourceType>
    <b:Guid>{ABF7FBE9-BE51-46E8-A57D-04FEB4577507}</b:Guid>
    <b:Author>
      <b:Author>
        <b:NameList>
          <b:Person>
            <b:Last>G.K. Anane</b:Last>
            <b:First>P.B.</b:First>
            <b:Middle>Cobbinah, &amp; J.K. Manu</b:Middle>
          </b:Person>
        </b:NameList>
      </b:Author>
    </b:Author>
    <b:Title>Sustainability of small and medium scale enterprises in rural Ghana</b:Title>
    <b:JournalName>The role of microfinance institutions. Asian Economic and Financial Review, 3(8), 1003</b:JournalName>
    <b:Year>2013</b:Year>
    <b:RefOrder>30</b:RefOrder>
  </b:Source>
  <b:Source>
    <b:Tag>Omo18</b:Tag>
    <b:SourceType>JournalArticle</b:SourceType>
    <b:Guid>{7591EFED-4AA2-4A8E-A75C-8346B760FB0C}</b:Guid>
    <b:Author>
      <b:Author>
        <b:NameList>
          <b:Person>
            <b:Last>Jagongo</b:Last>
            <b:First>Omondi</b:First>
            <b:Middle>and</b:Middle>
          </b:Person>
        </b:NameList>
      </b:Author>
    </b:Author>
    <b:Title>Microfinance services and financial performance of small and medium enterprises of youth SMEs in Kisumu County, Kenya</b:Title>
    <b:Year>2018</b:Year>
    <b:RefOrder>31</b:RefOrder>
  </b:Source>
  <b:Source>
    <b:Tag>Coo12</b:Tag>
    <b:SourceType>Book</b:SourceType>
    <b:Guid>{2B242B4E-8DB5-4DF0-BFB0-7ABC301B416F}</b:Guid>
    <b:Author>
      <b:Author>
        <b:NameList>
          <b:Person>
            <b:Last>Cooper</b:Last>
            <b:First>J.N.</b:First>
          </b:Person>
        </b:NameList>
      </b:Author>
    </b:Author>
    <b:Title>The impact of microfinance services on the growth of small and medium enterprises in Kenya</b:Title>
    <b:Year>2012</b:Year>
    <b:Publisher>  (Doctoral dissertation, University of Nairobi, Kenya)</b:Publisher>
    <b:RefOrder>32</b:RefOrder>
  </b:Source>
  <b:Source>
    <b:Tag>SAM14</b:Tag>
    <b:SourceType>JournalArticle</b:SourceType>
    <b:Guid>{D5FE7483-623B-4C25-A81C-1A698269B11C}</b:Guid>
    <b:Author>
      <b:Author>
        <b:NameList>
          <b:Person>
            <b:Last>Musah</b:Last>
            <b:First>S.A.</b:First>
            <b:Middle>Mubashiru and A.</b:Middle>
          </b:Person>
        </b:NameList>
      </b:Author>
    </b:Author>
    <b:Title>Traditional Risk Coping Mechanism and Microinsurance of Selected</b:Title>
    <b:JournalName>International Journal of Innovative Research and Development, 3(10)</b:JournalName>
    <b:Year>2014</b:Year>
    <b:Pages>233-237</b:Pages>
    <b:RefOrder>33</b:RefOrder>
  </b:Source>
  <b:Source>
    <b:Tag>Mas17</b:Tag>
    <b:SourceType>JournalArticle</b:SourceType>
    <b:Guid>{C97B4E8F-19FE-4D5D-AF34-EA69EEDB52A6}</b:Guid>
    <b:Title>The impact of microfinance on micro enterprises.</b:Title>
    <b:JournalName>Investment management and financial innovations.</b:JournalName>
    <b:Year>2017</b:Year>
    <b:Author>
      <b:Author>
        <b:NameList>
          <b:Person>
            <b:Last>Mashigo S.</b:Last>
            <b:First>Olugbenga</b:First>
            <b:Middle>P.</b:Middle>
          </b:Person>
        </b:NameList>
      </b:Author>
    </b:Author>
    <b:RefOrder>17</b:RefOrder>
  </b:Source>
  <b:Source>
    <b:Tag>Cen21</b:Tag>
    <b:SourceType>Report</b:SourceType>
    <b:Guid>{20F5713E-4DAE-4312-8D5C-52D850EA2D8B}</b:Guid>
    <b:Year>2021</b:Year>
    <b:Title>Central Bank Annual Report</b:Title>
    <b:RefOrder>3</b:RefOrder>
  </b:Source>
  <b:Source>
    <b:Tag>KRa19</b:Tag>
    <b:SourceType>JournalArticle</b:SourceType>
    <b:Guid>{3A4DD0C0-589C-4971-A758-25CB98F958F6}</b:Guid>
    <b:Title>Impact of Microfinance Services on Growth of Micro Small and Medium Scale Enterprises: Empirical Evidence from Micro, Small and Medium Scale Enterprises in Kalutara district</b:Title>
    <b:Year>2019</b:Year>
    <b:Author>
      <b:Author>
        <b:NameList>
          <b:Person>
            <b:Last>Rathnayake K.</b:Last>
            <b:First>Fernando</b:First>
            <b:Middle>P. &amp; Fernando A.</b:Middle>
          </b:Person>
        </b:NameList>
      </b:Author>
    </b:Author>
    <b:JournalName>Journal of Management and Tourism Research , 49-63.</b:JournalName>
    <b:RefOrder>12</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91707B-822A-49BD-8B17-3AD1D0B10336}">
  <ds:schemaRefs/>
</ds:datastoreItem>
</file>

<file path=docProps/app.xml><?xml version="1.0" encoding="utf-8"?>
<Properties xmlns="http://schemas.openxmlformats.org/officeDocument/2006/extended-properties" xmlns:vt="http://schemas.openxmlformats.org/officeDocument/2006/docPropsVTypes">
  <Template>Normal</Template>
  <Pages>34</Pages>
  <Words>6388</Words>
  <Characters>36414</Characters>
  <Lines>303</Lines>
  <Paragraphs>85</Paragraphs>
  <TotalTime>3</TotalTime>
  <ScaleCrop>false</ScaleCrop>
  <LinksUpToDate>false</LinksUpToDate>
  <CharactersWithSpaces>42717</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2023-08-16T20:24:00Z</dcterms:created>
  <dc:creator>Microsoft account</dc:creator>
  <cp:lastModifiedBy>Subhashini Weerakkody - Univer</cp:lastModifiedBy>
  <cp:lastPrinted>2023-02-19T19:14:00Z</cp:lastPrinted>
  <dcterms:modified xsi:type="dcterms:W3CDTF">2024-03-19T12:08:29Z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2057-12.2.0.13489</vt:lpwstr>
  </property>
  <property fmtid="{D5CDD505-2E9C-101B-9397-08002B2CF9AE}" pid="3" name="ICV">
    <vt:lpwstr>E4A147C3D7B340C68A6BD70AB73AF138_12</vt:lpwstr>
  </property>
</Properties>
</file>