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40D1" w:rsidRPr="003340D1" w:rsidRDefault="002C7201" w:rsidP="003340D1">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Determinants of Post-</w:t>
      </w:r>
      <w:r w:rsidR="003340D1">
        <w:rPr>
          <w:rFonts w:ascii="Times New Roman" w:hAnsi="Times New Roman" w:cs="Times New Roman"/>
          <w:b/>
          <w:bCs/>
          <w:sz w:val="24"/>
          <w:szCs w:val="24"/>
        </w:rPr>
        <w:t>Retirement Employment i</w:t>
      </w:r>
      <w:r w:rsidR="003340D1" w:rsidRPr="003340D1">
        <w:rPr>
          <w:rFonts w:ascii="Times New Roman" w:hAnsi="Times New Roman" w:cs="Times New Roman"/>
          <w:b/>
          <w:bCs/>
          <w:sz w:val="24"/>
          <w:szCs w:val="24"/>
        </w:rPr>
        <w:t>n Sri Lanka</w:t>
      </w:r>
    </w:p>
    <w:p w:rsidR="000E22EB" w:rsidRPr="000D07AF" w:rsidRDefault="008A7238" w:rsidP="000F0C77">
      <w:pPr>
        <w:spacing w:line="240" w:lineRule="auto"/>
        <w:rPr>
          <w:rFonts w:ascii="Times New Roman" w:hAnsi="Times New Roman" w:cs="Times New Roman"/>
        </w:rPr>
      </w:pPr>
      <w:r>
        <w:rPr>
          <w:rFonts w:ascii="Times New Roman" w:hAnsi="Times New Roman" w:cs="Times New Roman"/>
        </w:rPr>
        <w:t>Perera E.A.Y.</w:t>
      </w:r>
      <w:r w:rsidR="00E44E1B">
        <w:rPr>
          <w:rFonts w:ascii="Times New Roman" w:hAnsi="Times New Roman" w:cs="Times New Roman"/>
        </w:rPr>
        <w:t>D</w:t>
      </w:r>
      <w:r w:rsidR="002C7201">
        <w:rPr>
          <w:rFonts w:ascii="Times New Roman" w:hAnsi="Times New Roman" w:cs="Times New Roman"/>
        </w:rPr>
        <w:t>.</w:t>
      </w:r>
      <w:r w:rsidR="002C7201" w:rsidRPr="002C7201">
        <w:rPr>
          <w:rFonts w:ascii="Times New Roman" w:hAnsi="Times New Roman" w:cs="Times New Roman"/>
          <w:vertAlign w:val="superscript"/>
        </w:rPr>
        <w:t>1</w:t>
      </w:r>
      <w:r w:rsidR="00E44E1B">
        <w:rPr>
          <w:rFonts w:ascii="Times New Roman" w:hAnsi="Times New Roman" w:cs="Times New Roman"/>
        </w:rPr>
        <w:t xml:space="preserve"> and</w:t>
      </w:r>
      <w:r w:rsidR="000E22EB" w:rsidRPr="000D07AF">
        <w:rPr>
          <w:rFonts w:ascii="Times New Roman" w:hAnsi="Times New Roman" w:cs="Times New Roman"/>
        </w:rPr>
        <w:t xml:space="preserve"> </w:t>
      </w:r>
      <w:r>
        <w:rPr>
          <w:rFonts w:ascii="Times New Roman" w:hAnsi="Times New Roman" w:cs="Times New Roman"/>
        </w:rPr>
        <w:t>Weerakkody W.</w:t>
      </w:r>
      <w:r w:rsidR="00E44E1B">
        <w:rPr>
          <w:rFonts w:ascii="Times New Roman" w:hAnsi="Times New Roman" w:cs="Times New Roman"/>
        </w:rPr>
        <w:t>A.S.</w:t>
      </w:r>
      <w:r w:rsidR="002C7201" w:rsidRPr="002C7201">
        <w:rPr>
          <w:rFonts w:ascii="Times New Roman" w:hAnsi="Times New Roman" w:cs="Times New Roman"/>
          <w:vertAlign w:val="superscript"/>
        </w:rPr>
        <w:t>2</w:t>
      </w:r>
    </w:p>
    <w:p w:rsidR="00E44E1B" w:rsidRDefault="00E44E1B" w:rsidP="00E44E1B">
      <w:pPr>
        <w:spacing w:after="0" w:line="276" w:lineRule="auto"/>
        <w:rPr>
          <w:rFonts w:ascii="Times New Roman" w:hAnsi="Times New Roman" w:cs="Times New Roman"/>
          <w:sz w:val="20"/>
        </w:rPr>
      </w:pPr>
      <w:r>
        <w:rPr>
          <w:rFonts w:ascii="Times New Roman" w:hAnsi="Times New Roman" w:cs="Times New Roman"/>
          <w:sz w:val="20"/>
        </w:rPr>
        <w:t>Department o</w:t>
      </w:r>
      <w:r w:rsidR="008A7238">
        <w:rPr>
          <w:rFonts w:ascii="Times New Roman" w:hAnsi="Times New Roman" w:cs="Times New Roman"/>
          <w:sz w:val="20"/>
        </w:rPr>
        <w:t>f Human Resource Management</w:t>
      </w:r>
    </w:p>
    <w:p w:rsidR="00E44E1B" w:rsidRDefault="00E44E1B" w:rsidP="00E44E1B">
      <w:pPr>
        <w:spacing w:after="0" w:line="276" w:lineRule="auto"/>
        <w:rPr>
          <w:rFonts w:ascii="Times New Roman" w:hAnsi="Times New Roman" w:cs="Times New Roman"/>
          <w:sz w:val="20"/>
        </w:rPr>
      </w:pPr>
      <w:r>
        <w:rPr>
          <w:rFonts w:ascii="Times New Roman" w:hAnsi="Times New Roman" w:cs="Times New Roman"/>
          <w:sz w:val="20"/>
        </w:rPr>
        <w:t>Univers</w:t>
      </w:r>
      <w:r w:rsidR="008A7238">
        <w:rPr>
          <w:rFonts w:ascii="Times New Roman" w:hAnsi="Times New Roman" w:cs="Times New Roman"/>
          <w:sz w:val="20"/>
        </w:rPr>
        <w:t xml:space="preserve">ity of Kelaniya  </w:t>
      </w:r>
      <w:r w:rsidR="008A7238">
        <w:rPr>
          <w:rFonts w:ascii="Times New Roman" w:hAnsi="Times New Roman" w:cs="Times New Roman"/>
          <w:sz w:val="20"/>
        </w:rPr>
        <w:tab/>
      </w:r>
    </w:p>
    <w:p w:rsidR="00E44E1B" w:rsidRPr="00E44E1B" w:rsidRDefault="00E44E1B" w:rsidP="00E44E1B">
      <w:pPr>
        <w:spacing w:after="0" w:line="276" w:lineRule="auto"/>
        <w:rPr>
          <w:rFonts w:ascii="Times New Roman" w:hAnsi="Times New Roman" w:cs="Times New Roman"/>
          <w:sz w:val="12"/>
        </w:rPr>
      </w:pPr>
    </w:p>
    <w:p w:rsidR="00755E80" w:rsidRPr="00EC405A" w:rsidRDefault="00E44E1B" w:rsidP="000F0C77">
      <w:pPr>
        <w:spacing w:line="240" w:lineRule="auto"/>
        <w:rPr>
          <w:rFonts w:ascii="Times New Roman" w:hAnsi="Times New Roman" w:cs="Times New Roman"/>
          <w:sz w:val="20"/>
        </w:rPr>
      </w:pPr>
      <w:r w:rsidRPr="008A7238">
        <w:rPr>
          <w:rFonts w:ascii="Times New Roman" w:hAnsi="Times New Roman" w:cs="Times New Roman"/>
          <w:sz w:val="20"/>
        </w:rPr>
        <w:t>yohandperera@gmail.com</w:t>
      </w:r>
      <w:r w:rsidR="002C7201" w:rsidRPr="002C7201">
        <w:rPr>
          <w:rFonts w:ascii="Times New Roman" w:hAnsi="Times New Roman" w:cs="Times New Roman"/>
          <w:sz w:val="20"/>
          <w:vertAlign w:val="superscript"/>
        </w:rPr>
        <w:t>1</w:t>
      </w:r>
      <w:r>
        <w:rPr>
          <w:rFonts w:ascii="Times New Roman" w:hAnsi="Times New Roman" w:cs="Times New Roman"/>
          <w:sz w:val="20"/>
        </w:rPr>
        <w:t xml:space="preserve"> and </w:t>
      </w:r>
      <w:r w:rsidRPr="008A7238">
        <w:rPr>
          <w:rFonts w:ascii="Times New Roman" w:hAnsi="Times New Roman" w:cs="Times New Roman"/>
          <w:sz w:val="20"/>
        </w:rPr>
        <w:t>was@kln.ac.lk</w:t>
      </w:r>
      <w:r w:rsidR="002C7201" w:rsidRPr="002C7201">
        <w:rPr>
          <w:rFonts w:ascii="Times New Roman" w:hAnsi="Times New Roman" w:cs="Times New Roman"/>
          <w:sz w:val="20"/>
          <w:vertAlign w:val="superscript"/>
        </w:rPr>
        <w:t>2</w:t>
      </w:r>
      <w:r>
        <w:rPr>
          <w:rFonts w:ascii="Times New Roman" w:hAnsi="Times New Roman" w:cs="Times New Roman"/>
          <w:sz w:val="20"/>
        </w:rPr>
        <w:t xml:space="preserve"> </w:t>
      </w:r>
      <w:r w:rsidR="00755E80" w:rsidRPr="00B03B44">
        <w:rPr>
          <w:rFonts w:ascii="Times New Roman" w:hAnsi="Times New Roman" w:cs="Times New Roman"/>
          <w:sz w:val="20"/>
        </w:rPr>
        <w:t xml:space="preserve"> </w:t>
      </w:r>
    </w:p>
    <w:p w:rsidR="00755E80" w:rsidRPr="005415BC" w:rsidRDefault="00755E80" w:rsidP="008A7238">
      <w:pPr>
        <w:jc w:val="both"/>
        <w:rPr>
          <w:rFonts w:ascii="Times New Roman" w:hAnsi="Times New Roman" w:cs="Times New Roman"/>
          <w:b/>
          <w:sz w:val="20"/>
        </w:rPr>
      </w:pPr>
      <w:r w:rsidRPr="005415BC">
        <w:rPr>
          <w:rFonts w:ascii="Times New Roman" w:hAnsi="Times New Roman" w:cs="Times New Roman"/>
          <w:b/>
          <w:sz w:val="20"/>
        </w:rPr>
        <w:t>Abstract</w:t>
      </w:r>
    </w:p>
    <w:p w:rsidR="001C2258" w:rsidRPr="001C2258" w:rsidRDefault="001C2258" w:rsidP="001C2258">
      <w:pPr>
        <w:spacing w:after="0" w:line="240" w:lineRule="auto"/>
        <w:jc w:val="both"/>
        <w:rPr>
          <w:rFonts w:ascii="Times New Roman" w:hAnsi="Times New Roman"/>
          <w:bCs/>
          <w:sz w:val="20"/>
          <w:szCs w:val="20"/>
        </w:rPr>
      </w:pPr>
      <w:r w:rsidRPr="001C2258">
        <w:rPr>
          <w:rFonts w:ascii="Times New Roman" w:hAnsi="Times New Roman"/>
          <w:bCs/>
          <w:sz w:val="20"/>
          <w:szCs w:val="20"/>
        </w:rPr>
        <w:t>Sri Lanka has been undergoing the impact of population ageing. Many structural and behavioral changes begin to occur in the population as a result of this demographical shift. Re-employment after the formal retirement of employees increasingly becomes usual routinely marking it as a significant trend it in the economy. Therefore, there should be some significant determinants which determine this behavior of working after retirement in Sri Lanka.</w:t>
      </w:r>
      <w:r>
        <w:rPr>
          <w:rFonts w:ascii="Times New Roman" w:hAnsi="Times New Roman"/>
          <w:bCs/>
          <w:sz w:val="20"/>
          <w:szCs w:val="20"/>
        </w:rPr>
        <w:t xml:space="preserve"> </w:t>
      </w:r>
      <w:r w:rsidRPr="001C2258">
        <w:rPr>
          <w:rFonts w:ascii="Times New Roman" w:hAnsi="Times New Roman"/>
          <w:bCs/>
          <w:sz w:val="20"/>
          <w:szCs w:val="20"/>
        </w:rPr>
        <w:t>A quantitative and exploratory research study was launched as a field study depending on a comprehensive literature review. Six determinants were id</w:t>
      </w:r>
      <w:r w:rsidR="002C7201">
        <w:rPr>
          <w:rFonts w:ascii="Times New Roman" w:hAnsi="Times New Roman"/>
          <w:bCs/>
          <w:sz w:val="20"/>
          <w:szCs w:val="20"/>
        </w:rPr>
        <w:t>entified which impact to Post-</w:t>
      </w:r>
      <w:r w:rsidRPr="001C2258">
        <w:rPr>
          <w:rFonts w:ascii="Times New Roman" w:hAnsi="Times New Roman"/>
          <w:bCs/>
          <w:sz w:val="20"/>
          <w:szCs w:val="20"/>
        </w:rPr>
        <w:t>Retirement Employment in Sri Lanka through the analysis. A new questionnaire was developed and then standardized after furnishing the pilot survey and reviewing by scholars, peers and other related third parties. Primary</w:t>
      </w:r>
      <w:r w:rsidR="002C7201">
        <w:rPr>
          <w:rFonts w:ascii="Times New Roman" w:hAnsi="Times New Roman"/>
          <w:bCs/>
          <w:sz w:val="20"/>
          <w:szCs w:val="20"/>
        </w:rPr>
        <w:t xml:space="preserve"> data was gathered from 97 post-</w:t>
      </w:r>
      <w:r w:rsidRPr="001C2258">
        <w:rPr>
          <w:rFonts w:ascii="Times New Roman" w:hAnsi="Times New Roman"/>
          <w:bCs/>
          <w:sz w:val="20"/>
          <w:szCs w:val="20"/>
        </w:rPr>
        <w:t xml:space="preserve">retired </w:t>
      </w:r>
      <w:r w:rsidR="002C7201">
        <w:rPr>
          <w:rFonts w:ascii="Times New Roman" w:hAnsi="Times New Roman"/>
          <w:bCs/>
          <w:sz w:val="20"/>
          <w:szCs w:val="20"/>
        </w:rPr>
        <w:t>employees. Since it was a one-</w:t>
      </w:r>
      <w:r w:rsidRPr="001C2258">
        <w:rPr>
          <w:rFonts w:ascii="Times New Roman" w:hAnsi="Times New Roman"/>
          <w:bCs/>
          <w:sz w:val="20"/>
          <w:szCs w:val="20"/>
        </w:rPr>
        <w:t xml:space="preserve">time data collection, the study </w:t>
      </w:r>
      <w:r w:rsidR="002C7201">
        <w:rPr>
          <w:rFonts w:ascii="Times New Roman" w:hAnsi="Times New Roman"/>
          <w:bCs/>
          <w:sz w:val="20"/>
          <w:szCs w:val="20"/>
        </w:rPr>
        <w:t>could be addressed as a cross-</w:t>
      </w:r>
      <w:r w:rsidRPr="001C2258">
        <w:rPr>
          <w:rFonts w:ascii="Times New Roman" w:hAnsi="Times New Roman"/>
          <w:bCs/>
          <w:sz w:val="20"/>
          <w:szCs w:val="20"/>
        </w:rPr>
        <w:t>sectional study.</w:t>
      </w:r>
    </w:p>
    <w:p w:rsidR="001C2258" w:rsidRPr="00553023" w:rsidRDefault="001C2258" w:rsidP="001C2258">
      <w:pPr>
        <w:pStyle w:val="KeywordsText"/>
        <w:jc w:val="left"/>
        <w:rPr>
          <w:sz w:val="20"/>
        </w:rPr>
      </w:pPr>
    </w:p>
    <w:p w:rsidR="000E0E19" w:rsidRPr="00571DD2" w:rsidRDefault="00755E80" w:rsidP="006F6F07">
      <w:pPr>
        <w:pStyle w:val="AbstractStyle"/>
        <w:spacing w:after="240"/>
        <w:jc w:val="left"/>
        <w:rPr>
          <w:i w:val="0"/>
          <w:sz w:val="20"/>
        </w:rPr>
      </w:pPr>
      <w:r w:rsidRPr="00571DD2">
        <w:rPr>
          <w:b/>
          <w:i w:val="0"/>
          <w:sz w:val="20"/>
        </w:rPr>
        <w:t>Keywords:</w:t>
      </w:r>
      <w:r w:rsidR="00A06555">
        <w:rPr>
          <w:i w:val="0"/>
          <w:sz w:val="20"/>
        </w:rPr>
        <w:t xml:space="preserve"> </w:t>
      </w:r>
      <w:r w:rsidR="006F6F07" w:rsidRPr="002C7201">
        <w:rPr>
          <w:sz w:val="20"/>
        </w:rPr>
        <w:t>Ageing, labour force, population, post-retirement employment, re-employment and retirement</w:t>
      </w:r>
    </w:p>
    <w:p w:rsidR="005415BC" w:rsidRPr="008A7238" w:rsidRDefault="00571DD2" w:rsidP="008A7238">
      <w:pPr>
        <w:spacing w:line="240" w:lineRule="auto"/>
        <w:jc w:val="both"/>
        <w:rPr>
          <w:rFonts w:ascii="Times New Roman" w:hAnsi="Times New Roman" w:cs="Times New Roman"/>
          <w:sz w:val="20"/>
          <w:szCs w:val="20"/>
        </w:rPr>
      </w:pPr>
      <w:r w:rsidRPr="008A7238">
        <w:rPr>
          <w:rFonts w:ascii="Times New Roman" w:hAnsi="Times New Roman" w:cs="Times New Roman"/>
          <w:b/>
          <w:sz w:val="20"/>
          <w:szCs w:val="20"/>
        </w:rPr>
        <w:t xml:space="preserve">Copyright: </w:t>
      </w:r>
      <w:r w:rsidRPr="008A7238">
        <w:rPr>
          <w:rFonts w:ascii="Times New Roman" w:hAnsi="Times New Roman" w:cs="Times New Roman"/>
          <w:sz w:val="20"/>
          <w:szCs w:val="20"/>
        </w:rPr>
        <w:t xml:space="preserve">© </w:t>
      </w:r>
      <w:r w:rsidR="008A7238" w:rsidRPr="008A7238">
        <w:rPr>
          <w:rFonts w:ascii="Times New Roman" w:hAnsi="Times New Roman" w:cs="Times New Roman"/>
          <w:sz w:val="20"/>
          <w:szCs w:val="20"/>
        </w:rPr>
        <w:t>2018</w:t>
      </w:r>
      <w:r w:rsidR="005415BC" w:rsidRPr="008A7238">
        <w:rPr>
          <w:rFonts w:ascii="Times New Roman" w:hAnsi="Times New Roman" w:cs="Times New Roman"/>
          <w:sz w:val="20"/>
          <w:szCs w:val="20"/>
        </w:rPr>
        <w:t xml:space="preserve"> </w:t>
      </w:r>
      <w:r w:rsidR="008A7238" w:rsidRPr="008A7238">
        <w:rPr>
          <w:rFonts w:ascii="Times New Roman" w:hAnsi="Times New Roman" w:cs="Times New Roman"/>
          <w:sz w:val="20"/>
          <w:szCs w:val="20"/>
        </w:rPr>
        <w:t>Perera E.A.Y.D and Weerakkody W.A.S.</w:t>
      </w:r>
      <w:r w:rsidR="005415BC" w:rsidRPr="008A7238">
        <w:rPr>
          <w:rFonts w:ascii="Times New Roman" w:hAnsi="Times New Roman" w:cs="Times New Roman"/>
          <w:sz w:val="20"/>
          <w:szCs w:val="20"/>
        </w:rPr>
        <w:t xml:space="preserve"> This is an open access article distributed under the Creative Commons</w:t>
      </w:r>
      <w:r w:rsidRPr="008A7238">
        <w:rPr>
          <w:rFonts w:ascii="Times New Roman" w:hAnsi="Times New Roman" w:cs="Times New Roman"/>
          <w:b/>
          <w:sz w:val="20"/>
          <w:szCs w:val="20"/>
        </w:rPr>
        <w:t xml:space="preserve"> </w:t>
      </w:r>
      <w:r w:rsidR="005415BC" w:rsidRPr="008A7238">
        <w:rPr>
          <w:rFonts w:ascii="Times New Roman" w:hAnsi="Times New Roman" w:cs="Times New Roman"/>
          <w:sz w:val="20"/>
          <w:szCs w:val="20"/>
        </w:rPr>
        <w:t>Attribution License, which permits unrestricted use, distribution, and reproduction in an</w:t>
      </w:r>
      <w:r w:rsidRPr="008A7238">
        <w:rPr>
          <w:rFonts w:ascii="Times New Roman" w:hAnsi="Times New Roman" w:cs="Times New Roman"/>
          <w:sz w:val="20"/>
          <w:szCs w:val="20"/>
        </w:rPr>
        <w:t xml:space="preserve">y medium, provided the original </w:t>
      </w:r>
      <w:r w:rsidR="005415BC" w:rsidRPr="008A7238">
        <w:rPr>
          <w:rFonts w:ascii="Times New Roman" w:hAnsi="Times New Roman" w:cs="Times New Roman"/>
          <w:sz w:val="20"/>
          <w:szCs w:val="20"/>
        </w:rPr>
        <w:t>work is properly cited.</w:t>
      </w:r>
    </w:p>
    <w:p w:rsidR="005415BC" w:rsidRDefault="00646867" w:rsidP="005415BC">
      <w:pPr>
        <w:pStyle w:val="AbstractStyle"/>
        <w:spacing w:after="240"/>
        <w:rPr>
          <w:i w:val="0"/>
          <w:sz w:val="20"/>
        </w:rPr>
      </w:pPr>
      <w:r>
        <w:rPr>
          <w:b/>
          <w:i w:val="0"/>
          <w:sz w:val="20"/>
        </w:rPr>
        <w:t xml:space="preserve">Correspondence: </w:t>
      </w:r>
      <w:r w:rsidRPr="008A7238">
        <w:rPr>
          <w:i w:val="0"/>
          <w:sz w:val="20"/>
        </w:rPr>
        <w:t>yohandperera@gmail.com</w:t>
      </w:r>
    </w:p>
    <w:p w:rsidR="003C198E" w:rsidRDefault="003C198E" w:rsidP="002C7201">
      <w:pPr>
        <w:pStyle w:val="AbstractStyle"/>
        <w:rPr>
          <w:rFonts w:cs="Times New Roman"/>
          <w:i w:val="0"/>
          <w:color w:val="000000" w:themeColor="text1"/>
          <w:sz w:val="20"/>
          <w:shd w:val="clear" w:color="auto" w:fill="FFFFFF"/>
        </w:rPr>
      </w:pPr>
      <w:r w:rsidRPr="003C198E">
        <w:rPr>
          <w:b/>
          <w:bCs/>
          <w:i w:val="0"/>
          <w:sz w:val="20"/>
        </w:rPr>
        <w:t>ORCID of authors</w:t>
      </w:r>
      <w:r>
        <w:rPr>
          <w:i w:val="0"/>
          <w:sz w:val="20"/>
        </w:rPr>
        <w:t>:</w:t>
      </w:r>
      <w:r w:rsidR="008509DD">
        <w:rPr>
          <w:i w:val="0"/>
          <w:sz w:val="20"/>
        </w:rPr>
        <w:t xml:space="preserve"> </w:t>
      </w:r>
      <w:r w:rsidR="002C7201">
        <w:rPr>
          <w:i w:val="0"/>
          <w:sz w:val="20"/>
        </w:rPr>
        <w:tab/>
        <w:t xml:space="preserve">Perera E.A.Y.D. - </w:t>
      </w:r>
      <w:hyperlink r:id="rId8" w:history="1">
        <w:r w:rsidR="002C7201" w:rsidRPr="002C7201">
          <w:rPr>
            <w:rStyle w:val="Hyperlink"/>
            <w:rFonts w:cs="Times New Roman"/>
            <w:i w:val="0"/>
            <w:color w:val="auto"/>
            <w:sz w:val="20"/>
            <w:u w:val="none"/>
            <w:shd w:val="clear" w:color="auto" w:fill="FFFFFF"/>
          </w:rPr>
          <w:t>https://orcid.org/0000-0002-8941-030X</w:t>
        </w:r>
      </w:hyperlink>
    </w:p>
    <w:p w:rsidR="002C7201" w:rsidRPr="002C7201" w:rsidRDefault="002C7201" w:rsidP="002C7201">
      <w:pPr>
        <w:pStyle w:val="AbstractStyle"/>
        <w:spacing w:after="240"/>
        <w:ind w:left="1440" w:firstLine="720"/>
        <w:rPr>
          <w:b/>
          <w:i w:val="0"/>
          <w:sz w:val="20"/>
        </w:rPr>
      </w:pPr>
      <w:r>
        <w:rPr>
          <w:rFonts w:cs="Times New Roman"/>
          <w:i w:val="0"/>
          <w:color w:val="000000" w:themeColor="text1"/>
          <w:sz w:val="20"/>
          <w:shd w:val="clear" w:color="auto" w:fill="FFFFFF"/>
        </w:rPr>
        <w:t xml:space="preserve">Weerakkody W.A.S. - </w:t>
      </w:r>
      <w:hyperlink r:id="rId9" w:history="1">
        <w:r w:rsidRPr="002C7201">
          <w:rPr>
            <w:rStyle w:val="Hyperlink"/>
            <w:rFonts w:cs="Times New Roman"/>
            <w:i w:val="0"/>
            <w:color w:val="auto"/>
            <w:sz w:val="20"/>
            <w:u w:val="none"/>
            <w:shd w:val="clear" w:color="auto" w:fill="FFFFFF"/>
          </w:rPr>
          <w:t>https://orcid.org/0000-0003-3710-8528</w:t>
        </w:r>
      </w:hyperlink>
    </w:p>
    <w:p w:rsidR="000E0E19" w:rsidRDefault="003F57A2" w:rsidP="005415BC">
      <w:pPr>
        <w:pStyle w:val="AbstractStyle"/>
        <w:spacing w:after="240"/>
        <w:rPr>
          <w:b/>
          <w:i w:val="0"/>
          <w:sz w:val="20"/>
        </w:rPr>
      </w:pPr>
      <w:r>
        <w:rPr>
          <w:b/>
          <w:i w:val="0"/>
          <w:sz w:val="20"/>
        </w:rPr>
        <w:t>DOI:</w:t>
      </w:r>
    </w:p>
    <w:p w:rsidR="008F48FA" w:rsidRDefault="008F48FA" w:rsidP="005415BC">
      <w:pPr>
        <w:pStyle w:val="AbstractStyle"/>
        <w:spacing w:after="240"/>
        <w:rPr>
          <w:b/>
          <w:i w:val="0"/>
          <w:sz w:val="20"/>
        </w:rPr>
      </w:pPr>
    </w:p>
    <w:p w:rsidR="005415BC" w:rsidRDefault="005415BC" w:rsidP="000E0E19">
      <w:pPr>
        <w:pStyle w:val="AbstractStyle"/>
        <w:spacing w:after="240"/>
        <w:rPr>
          <w:b/>
          <w:i w:val="0"/>
          <w:sz w:val="20"/>
        </w:rPr>
      </w:pPr>
    </w:p>
    <w:p w:rsidR="005415BC" w:rsidRDefault="005415BC" w:rsidP="000E0E19">
      <w:pPr>
        <w:pStyle w:val="AbstractStyle"/>
        <w:spacing w:after="240"/>
        <w:rPr>
          <w:b/>
          <w:i w:val="0"/>
          <w:sz w:val="20"/>
        </w:rPr>
      </w:pPr>
      <w:bookmarkStart w:id="0" w:name="_GoBack"/>
      <w:bookmarkEnd w:id="0"/>
    </w:p>
    <w:p w:rsidR="00646867" w:rsidRDefault="00646867" w:rsidP="000E0E19">
      <w:pPr>
        <w:pStyle w:val="AbstractStyle"/>
        <w:spacing w:after="240"/>
        <w:rPr>
          <w:b/>
          <w:i w:val="0"/>
          <w:sz w:val="20"/>
        </w:rPr>
      </w:pPr>
    </w:p>
    <w:p w:rsidR="008A7238" w:rsidRDefault="008A7238" w:rsidP="000E0E19">
      <w:pPr>
        <w:pStyle w:val="AbstractStyle"/>
        <w:spacing w:after="240"/>
        <w:rPr>
          <w:b/>
          <w:i w:val="0"/>
          <w:sz w:val="20"/>
        </w:rPr>
      </w:pPr>
    </w:p>
    <w:p w:rsidR="008A7238" w:rsidRDefault="008A7238" w:rsidP="000E0E19">
      <w:pPr>
        <w:pStyle w:val="AbstractStyle"/>
        <w:spacing w:after="240"/>
        <w:rPr>
          <w:b/>
          <w:i w:val="0"/>
          <w:sz w:val="20"/>
        </w:rPr>
      </w:pPr>
    </w:p>
    <w:p w:rsidR="00A546D7" w:rsidRDefault="00A546D7" w:rsidP="000E0E19">
      <w:pPr>
        <w:pStyle w:val="AbstractStyle"/>
        <w:spacing w:after="240"/>
        <w:rPr>
          <w:b/>
          <w:i w:val="0"/>
          <w:sz w:val="20"/>
        </w:rPr>
      </w:pPr>
    </w:p>
    <w:p w:rsidR="00A546D7" w:rsidRDefault="00A546D7" w:rsidP="000E0E19">
      <w:pPr>
        <w:pStyle w:val="AbstractStyle"/>
        <w:spacing w:after="240"/>
        <w:rPr>
          <w:b/>
          <w:i w:val="0"/>
          <w:sz w:val="20"/>
        </w:rPr>
        <w:sectPr w:rsidR="00A546D7" w:rsidSect="002C7201">
          <w:headerReference w:type="default" r:id="rId10"/>
          <w:footerReference w:type="default" r:id="rId11"/>
          <w:pgSz w:w="10319" w:h="14571" w:code="13"/>
          <w:pgMar w:top="1440" w:right="1440" w:bottom="1440" w:left="1440" w:header="720" w:footer="720" w:gutter="0"/>
          <w:pgNumType w:start="38"/>
          <w:cols w:space="720"/>
          <w:docGrid w:linePitch="360"/>
        </w:sectPr>
      </w:pPr>
    </w:p>
    <w:p w:rsidR="000E0E19" w:rsidRPr="00A67000" w:rsidRDefault="000E0E19" w:rsidP="00A67000">
      <w:pPr>
        <w:pStyle w:val="AbstractStyle"/>
        <w:spacing w:after="200"/>
        <w:rPr>
          <w:b/>
          <w:i w:val="0"/>
          <w:sz w:val="24"/>
        </w:rPr>
      </w:pPr>
      <w:r w:rsidRPr="00A67000">
        <w:rPr>
          <w:b/>
          <w:i w:val="0"/>
          <w:sz w:val="24"/>
        </w:rPr>
        <w:lastRenderedPageBreak/>
        <w:t>Introduction</w:t>
      </w:r>
    </w:p>
    <w:p w:rsidR="00A546D7" w:rsidRPr="00A546D7" w:rsidRDefault="00A546D7" w:rsidP="00A546D7">
      <w:pPr>
        <w:spacing w:after="0" w:line="240" w:lineRule="auto"/>
        <w:jc w:val="both"/>
        <w:rPr>
          <w:rFonts w:ascii="Times New Roman" w:hAnsi="Times New Roman" w:cs="Times New Roman"/>
          <w:sz w:val="20"/>
          <w:szCs w:val="20"/>
        </w:rPr>
      </w:pPr>
      <w:r w:rsidRPr="00A546D7">
        <w:rPr>
          <w:rFonts w:ascii="Times New Roman" w:hAnsi="Times New Roman" w:cs="Times New Roman"/>
          <w:sz w:val="20"/>
          <w:szCs w:val="20"/>
        </w:rPr>
        <w:t xml:space="preserve">Life expectancy of the communities around the world is ensured by better food, hygiene, increasing quality of health care and advances in sciences (Mayhew, 2003) and there are some notable materialized and structural changes in this increasing global population </w:t>
      </w:r>
      <w:sdt>
        <w:sdtPr>
          <w:rPr>
            <w:rFonts w:ascii="Times New Roman" w:hAnsi="Times New Roman" w:cs="Times New Roman"/>
            <w:sz w:val="20"/>
            <w:szCs w:val="20"/>
          </w:rPr>
          <w:id w:val="147028657"/>
          <w:citation/>
        </w:sdtPr>
        <w:sdtEndPr/>
        <w:sdtContent>
          <w:r w:rsidRPr="00A546D7">
            <w:rPr>
              <w:rFonts w:ascii="Times New Roman" w:hAnsi="Times New Roman" w:cs="Times New Roman"/>
              <w:sz w:val="20"/>
              <w:szCs w:val="20"/>
            </w:rPr>
            <w:fldChar w:fldCharType="begin"/>
          </w:r>
          <w:r w:rsidRPr="00A546D7">
            <w:rPr>
              <w:rFonts w:ascii="Times New Roman" w:hAnsi="Times New Roman" w:cs="Times New Roman"/>
              <w:sz w:val="20"/>
              <w:szCs w:val="20"/>
            </w:rPr>
            <w:instrText xml:space="preserve"> CITATION Shu10 \l 1033 </w:instrText>
          </w:r>
          <w:r w:rsidRPr="00A546D7">
            <w:rPr>
              <w:rFonts w:ascii="Times New Roman" w:hAnsi="Times New Roman" w:cs="Times New Roman"/>
              <w:sz w:val="20"/>
              <w:szCs w:val="20"/>
            </w:rPr>
            <w:fldChar w:fldCharType="separate"/>
          </w:r>
          <w:r w:rsidRPr="00A546D7">
            <w:rPr>
              <w:rFonts w:ascii="Times New Roman" w:hAnsi="Times New Roman" w:cs="Times New Roman"/>
              <w:noProof/>
              <w:sz w:val="20"/>
              <w:szCs w:val="20"/>
            </w:rPr>
            <w:t>(Shultz &amp; Henkens, 2010)</w:t>
          </w:r>
          <w:r w:rsidRPr="00A546D7">
            <w:rPr>
              <w:rFonts w:ascii="Times New Roman" w:hAnsi="Times New Roman" w:cs="Times New Roman"/>
              <w:sz w:val="20"/>
              <w:szCs w:val="20"/>
            </w:rPr>
            <w:fldChar w:fldCharType="end"/>
          </w:r>
        </w:sdtContent>
      </w:sdt>
      <w:r w:rsidRPr="00A546D7">
        <w:rPr>
          <w:rFonts w:ascii="Times New Roman" w:hAnsi="Times New Roman" w:cs="Times New Roman"/>
          <w:sz w:val="20"/>
          <w:szCs w:val="20"/>
        </w:rPr>
        <w:t xml:space="preserve">. With this rapid population growth and the significant changes, people are not willing to leave the workforce </w:t>
      </w:r>
      <w:sdt>
        <w:sdtPr>
          <w:rPr>
            <w:rFonts w:ascii="Times New Roman" w:hAnsi="Times New Roman" w:cs="Times New Roman"/>
            <w:sz w:val="20"/>
            <w:szCs w:val="20"/>
          </w:rPr>
          <w:id w:val="-328218569"/>
          <w:citation/>
        </w:sdtPr>
        <w:sdtEndPr/>
        <w:sdtContent>
          <w:r w:rsidRPr="00A546D7">
            <w:rPr>
              <w:rFonts w:ascii="Times New Roman" w:hAnsi="Times New Roman" w:cs="Times New Roman"/>
              <w:sz w:val="20"/>
              <w:szCs w:val="20"/>
            </w:rPr>
            <w:fldChar w:fldCharType="begin"/>
          </w:r>
          <w:r w:rsidRPr="00A546D7">
            <w:rPr>
              <w:rFonts w:ascii="Times New Roman" w:hAnsi="Times New Roman" w:cs="Times New Roman"/>
              <w:sz w:val="20"/>
              <w:szCs w:val="20"/>
            </w:rPr>
            <w:instrText xml:space="preserve"> CITATION Ema16 \l 1033 </w:instrText>
          </w:r>
          <w:r w:rsidRPr="00A546D7">
            <w:rPr>
              <w:rFonts w:ascii="Times New Roman" w:hAnsi="Times New Roman" w:cs="Times New Roman"/>
              <w:sz w:val="20"/>
              <w:szCs w:val="20"/>
            </w:rPr>
            <w:fldChar w:fldCharType="separate"/>
          </w:r>
          <w:r w:rsidRPr="00A546D7">
            <w:rPr>
              <w:rFonts w:ascii="Times New Roman" w:hAnsi="Times New Roman" w:cs="Times New Roman"/>
              <w:noProof/>
              <w:sz w:val="20"/>
              <w:szCs w:val="20"/>
            </w:rPr>
            <w:t>(Emanuel, Simon, &amp; Segars, 2016)</w:t>
          </w:r>
          <w:r w:rsidRPr="00A546D7">
            <w:rPr>
              <w:rFonts w:ascii="Times New Roman" w:hAnsi="Times New Roman" w:cs="Times New Roman"/>
              <w:sz w:val="20"/>
              <w:szCs w:val="20"/>
            </w:rPr>
            <w:fldChar w:fldCharType="end"/>
          </w:r>
        </w:sdtContent>
      </w:sdt>
      <w:r w:rsidRPr="00A546D7">
        <w:rPr>
          <w:rFonts w:ascii="Times New Roman" w:hAnsi="Times New Roman" w:cs="Times New Roman"/>
          <w:sz w:val="20"/>
          <w:szCs w:val="20"/>
        </w:rPr>
        <w:t>. Re-employment after the retirement is a trend derived in Europe and North America at the end of the 20</w:t>
      </w:r>
      <w:r w:rsidRPr="00A546D7">
        <w:rPr>
          <w:rFonts w:ascii="Times New Roman" w:hAnsi="Times New Roman" w:cs="Times New Roman"/>
          <w:sz w:val="20"/>
          <w:szCs w:val="20"/>
          <w:vertAlign w:val="superscript"/>
        </w:rPr>
        <w:t>th</w:t>
      </w:r>
      <w:r w:rsidRPr="00A546D7">
        <w:rPr>
          <w:rFonts w:ascii="Times New Roman" w:hAnsi="Times New Roman" w:cs="Times New Roman"/>
          <w:sz w:val="20"/>
          <w:szCs w:val="20"/>
        </w:rPr>
        <w:t xml:space="preserve"> century </w:t>
      </w:r>
      <w:sdt>
        <w:sdtPr>
          <w:rPr>
            <w:rFonts w:ascii="Times New Roman" w:hAnsi="Times New Roman" w:cs="Times New Roman"/>
            <w:sz w:val="20"/>
            <w:szCs w:val="20"/>
          </w:rPr>
          <w:id w:val="-395663178"/>
          <w:citation/>
        </w:sdtPr>
        <w:sdtEndPr/>
        <w:sdtContent>
          <w:r w:rsidRPr="00A546D7">
            <w:rPr>
              <w:rFonts w:ascii="Times New Roman" w:hAnsi="Times New Roman" w:cs="Times New Roman"/>
              <w:sz w:val="20"/>
              <w:szCs w:val="20"/>
            </w:rPr>
            <w:fldChar w:fldCharType="begin"/>
          </w:r>
          <w:r w:rsidRPr="00A546D7">
            <w:rPr>
              <w:rFonts w:ascii="Times New Roman" w:hAnsi="Times New Roman" w:cs="Times New Roman"/>
              <w:sz w:val="20"/>
              <w:szCs w:val="20"/>
            </w:rPr>
            <w:instrText xml:space="preserve"> CITATION Arr97 \l 1033 </w:instrText>
          </w:r>
          <w:r w:rsidRPr="00A546D7">
            <w:rPr>
              <w:rFonts w:ascii="Times New Roman" w:hAnsi="Times New Roman" w:cs="Times New Roman"/>
              <w:sz w:val="20"/>
              <w:szCs w:val="20"/>
            </w:rPr>
            <w:fldChar w:fldCharType="separate"/>
          </w:r>
          <w:r w:rsidRPr="00A546D7">
            <w:rPr>
              <w:rFonts w:ascii="Times New Roman" w:hAnsi="Times New Roman" w:cs="Times New Roman"/>
              <w:noProof/>
              <w:sz w:val="20"/>
              <w:szCs w:val="20"/>
            </w:rPr>
            <w:t>(Arrowsmith &amp; McGoldrick, 1997)</w:t>
          </w:r>
          <w:r w:rsidRPr="00A546D7">
            <w:rPr>
              <w:rFonts w:ascii="Times New Roman" w:hAnsi="Times New Roman" w:cs="Times New Roman"/>
              <w:sz w:val="20"/>
              <w:szCs w:val="20"/>
            </w:rPr>
            <w:fldChar w:fldCharType="end"/>
          </w:r>
        </w:sdtContent>
      </w:sdt>
      <w:r w:rsidRPr="00A546D7">
        <w:rPr>
          <w:rFonts w:ascii="Times New Roman" w:hAnsi="Times New Roman" w:cs="Times New Roman"/>
          <w:sz w:val="20"/>
          <w:szCs w:val="20"/>
        </w:rPr>
        <w:t>.</w:t>
      </w:r>
    </w:p>
    <w:p w:rsidR="00A546D7" w:rsidRPr="00A546D7" w:rsidRDefault="00A546D7" w:rsidP="00A546D7">
      <w:pPr>
        <w:spacing w:after="0" w:line="240" w:lineRule="auto"/>
        <w:jc w:val="both"/>
        <w:rPr>
          <w:rFonts w:ascii="Times New Roman" w:hAnsi="Times New Roman" w:cs="Times New Roman"/>
          <w:sz w:val="20"/>
          <w:szCs w:val="20"/>
        </w:rPr>
      </w:pPr>
    </w:p>
    <w:p w:rsidR="00A546D7" w:rsidRPr="00A546D7" w:rsidRDefault="00A546D7" w:rsidP="00A546D7">
      <w:pPr>
        <w:spacing w:after="0" w:line="240" w:lineRule="auto"/>
        <w:jc w:val="both"/>
        <w:rPr>
          <w:rFonts w:ascii="Times New Roman" w:hAnsi="Times New Roman" w:cs="Times New Roman"/>
          <w:sz w:val="20"/>
          <w:szCs w:val="20"/>
        </w:rPr>
      </w:pPr>
      <w:r w:rsidRPr="00A546D7">
        <w:rPr>
          <w:rFonts w:ascii="Times New Roman" w:hAnsi="Times New Roman" w:cs="Times New Roman"/>
          <w:sz w:val="20"/>
          <w:szCs w:val="20"/>
        </w:rPr>
        <w:t xml:space="preserve">The nature of retirement has changed itself considerably </w:t>
      </w:r>
      <w:sdt>
        <w:sdtPr>
          <w:rPr>
            <w:rFonts w:ascii="Times New Roman" w:hAnsi="Times New Roman" w:cs="Times New Roman"/>
            <w:sz w:val="20"/>
            <w:szCs w:val="20"/>
          </w:rPr>
          <w:id w:val="-1307007949"/>
          <w:citation/>
        </w:sdtPr>
        <w:sdtEndPr/>
        <w:sdtContent>
          <w:r w:rsidRPr="00A546D7">
            <w:rPr>
              <w:rFonts w:ascii="Times New Roman" w:hAnsi="Times New Roman" w:cs="Times New Roman"/>
              <w:sz w:val="20"/>
              <w:szCs w:val="20"/>
            </w:rPr>
            <w:fldChar w:fldCharType="begin"/>
          </w:r>
          <w:r w:rsidRPr="00A546D7">
            <w:rPr>
              <w:rFonts w:ascii="Times New Roman" w:hAnsi="Times New Roman" w:cs="Times New Roman"/>
              <w:sz w:val="20"/>
              <w:szCs w:val="20"/>
            </w:rPr>
            <w:instrText xml:space="preserve"> CITATION Fel \l 1033 </w:instrText>
          </w:r>
          <w:r w:rsidRPr="00A546D7">
            <w:rPr>
              <w:rFonts w:ascii="Times New Roman" w:hAnsi="Times New Roman" w:cs="Times New Roman"/>
              <w:sz w:val="20"/>
              <w:szCs w:val="20"/>
            </w:rPr>
            <w:fldChar w:fldCharType="separate"/>
          </w:r>
          <w:r w:rsidRPr="00A546D7">
            <w:rPr>
              <w:rFonts w:ascii="Times New Roman" w:hAnsi="Times New Roman" w:cs="Times New Roman"/>
              <w:noProof/>
              <w:sz w:val="20"/>
              <w:szCs w:val="20"/>
            </w:rPr>
            <w:t>(Feldman &amp; Turnley, 1995)</w:t>
          </w:r>
          <w:r w:rsidRPr="00A546D7">
            <w:rPr>
              <w:rFonts w:ascii="Times New Roman" w:hAnsi="Times New Roman" w:cs="Times New Roman"/>
              <w:sz w:val="20"/>
              <w:szCs w:val="20"/>
            </w:rPr>
            <w:fldChar w:fldCharType="end"/>
          </w:r>
        </w:sdtContent>
      </w:sdt>
      <w:r w:rsidRPr="00A546D7">
        <w:rPr>
          <w:rFonts w:ascii="Times New Roman" w:hAnsi="Times New Roman" w:cs="Times New Roman"/>
          <w:sz w:val="20"/>
          <w:szCs w:val="20"/>
        </w:rPr>
        <w:t xml:space="preserve"> and also retirement is a process with multiple forms rather traditionally being concerned as a distinct and unforeseen termination of paid employment opportunity (Beehr &amp; Bennet, 2007 as cited by </w:t>
      </w:r>
      <w:r w:rsidRPr="00A546D7">
        <w:rPr>
          <w:rFonts w:ascii="Times New Roman" w:hAnsi="Times New Roman" w:cs="Times New Roman"/>
          <w:noProof/>
          <w:sz w:val="20"/>
          <w:szCs w:val="20"/>
        </w:rPr>
        <w:t>Shultz &amp; Henkens, 2010)</w:t>
      </w:r>
      <w:r w:rsidRPr="00A546D7">
        <w:rPr>
          <w:rFonts w:ascii="Times New Roman" w:hAnsi="Times New Roman" w:cs="Times New Roman"/>
          <w:sz w:val="20"/>
          <w:szCs w:val="20"/>
        </w:rPr>
        <w:t>. As mentioned by Flynn (2010) it is exclusively obvious that some older workers who are even at the threshold of retirement are eager to obtain and exploit the advantage of policy initiatives which aim delaying the retirement. On the other hand, it is found that retired employees who re-employ themselves are noticed more happier</w:t>
      </w:r>
      <w:r w:rsidR="003C3A43">
        <w:rPr>
          <w:rFonts w:ascii="Times New Roman" w:hAnsi="Times New Roman" w:cs="Times New Roman"/>
          <w:sz w:val="20"/>
          <w:szCs w:val="20"/>
        </w:rPr>
        <w:t xml:space="preserve"> and healthier than their non-</w:t>
      </w:r>
      <w:r w:rsidRPr="00A546D7">
        <w:rPr>
          <w:rFonts w:ascii="Times New Roman" w:hAnsi="Times New Roman" w:cs="Times New Roman"/>
          <w:sz w:val="20"/>
          <w:szCs w:val="20"/>
        </w:rPr>
        <w:t>working counterparts are (Kim &amp; Feldman, 2000; Zhan, Wang, Liu &amp; Shultz, 2009).</w:t>
      </w:r>
    </w:p>
    <w:p w:rsidR="00A546D7" w:rsidRPr="00A546D7" w:rsidRDefault="00A546D7" w:rsidP="00A546D7">
      <w:pPr>
        <w:spacing w:after="0" w:line="240" w:lineRule="auto"/>
        <w:jc w:val="both"/>
        <w:rPr>
          <w:rFonts w:ascii="Times New Roman" w:hAnsi="Times New Roman" w:cs="Times New Roman"/>
          <w:sz w:val="20"/>
          <w:szCs w:val="20"/>
        </w:rPr>
      </w:pPr>
    </w:p>
    <w:p w:rsidR="00A546D7" w:rsidRDefault="00A546D7" w:rsidP="00A546D7">
      <w:pPr>
        <w:spacing w:after="0" w:line="240" w:lineRule="auto"/>
        <w:jc w:val="both"/>
        <w:rPr>
          <w:rFonts w:ascii="Times New Roman" w:hAnsi="Times New Roman" w:cs="Times New Roman"/>
          <w:sz w:val="20"/>
          <w:szCs w:val="20"/>
        </w:rPr>
      </w:pPr>
      <w:r w:rsidRPr="00A546D7">
        <w:rPr>
          <w:rFonts w:ascii="Times New Roman" w:hAnsi="Times New Roman" w:cs="Times New Roman"/>
          <w:sz w:val="20"/>
          <w:szCs w:val="20"/>
        </w:rPr>
        <w:t xml:space="preserve">By the corporate sector point of view, many of primary and supportive activities in the value chain are now implemented by older workers. Even many dominant industrial countries in the world welcome retired employees into their workforces </w:t>
      </w:r>
      <w:sdt>
        <w:sdtPr>
          <w:rPr>
            <w:rFonts w:ascii="Times New Roman" w:hAnsi="Times New Roman" w:cs="Times New Roman"/>
            <w:sz w:val="20"/>
            <w:szCs w:val="20"/>
          </w:rPr>
          <w:id w:val="1295247606"/>
          <w:citation/>
        </w:sdtPr>
        <w:sdtEndPr/>
        <w:sdtContent>
          <w:r w:rsidRPr="00A546D7">
            <w:rPr>
              <w:rFonts w:ascii="Times New Roman" w:hAnsi="Times New Roman" w:cs="Times New Roman"/>
              <w:sz w:val="20"/>
              <w:szCs w:val="20"/>
            </w:rPr>
            <w:fldChar w:fldCharType="begin"/>
          </w:r>
          <w:r w:rsidRPr="00A546D7">
            <w:rPr>
              <w:rFonts w:ascii="Times New Roman" w:hAnsi="Times New Roman" w:cs="Times New Roman"/>
              <w:sz w:val="20"/>
              <w:szCs w:val="20"/>
            </w:rPr>
            <w:instrText xml:space="preserve"> CITATION Dum11 \l 1033 </w:instrText>
          </w:r>
          <w:r w:rsidRPr="00A546D7">
            <w:rPr>
              <w:rFonts w:ascii="Times New Roman" w:hAnsi="Times New Roman" w:cs="Times New Roman"/>
              <w:sz w:val="20"/>
              <w:szCs w:val="20"/>
            </w:rPr>
            <w:fldChar w:fldCharType="separate"/>
          </w:r>
          <w:r w:rsidRPr="00A546D7">
            <w:rPr>
              <w:rFonts w:ascii="Times New Roman" w:hAnsi="Times New Roman" w:cs="Times New Roman"/>
              <w:noProof/>
              <w:sz w:val="20"/>
              <w:szCs w:val="20"/>
            </w:rPr>
            <w:t>(Dumay &amp; Rooney, 2011)</w:t>
          </w:r>
          <w:r w:rsidRPr="00A546D7">
            <w:rPr>
              <w:rFonts w:ascii="Times New Roman" w:hAnsi="Times New Roman" w:cs="Times New Roman"/>
              <w:sz w:val="20"/>
              <w:szCs w:val="20"/>
            </w:rPr>
            <w:fldChar w:fldCharType="end"/>
          </w:r>
        </w:sdtContent>
      </w:sdt>
      <w:r w:rsidRPr="00A546D7">
        <w:rPr>
          <w:rFonts w:ascii="Times New Roman" w:hAnsi="Times New Roman" w:cs="Times New Roman"/>
          <w:sz w:val="20"/>
          <w:szCs w:val="20"/>
        </w:rPr>
        <w:t xml:space="preserve">. Working after the retirement is not an abnormal phenomenon to Japan and South Korea </w:t>
      </w:r>
      <w:sdt>
        <w:sdtPr>
          <w:rPr>
            <w:rFonts w:ascii="Times New Roman" w:hAnsi="Times New Roman" w:cs="Times New Roman"/>
            <w:sz w:val="20"/>
            <w:szCs w:val="20"/>
          </w:rPr>
          <w:id w:val="-414326666"/>
          <w:citation/>
        </w:sdtPr>
        <w:sdtEndPr/>
        <w:sdtContent>
          <w:r w:rsidRPr="00A546D7">
            <w:rPr>
              <w:rFonts w:ascii="Times New Roman" w:hAnsi="Times New Roman" w:cs="Times New Roman"/>
              <w:sz w:val="20"/>
              <w:szCs w:val="20"/>
            </w:rPr>
            <w:fldChar w:fldCharType="begin"/>
          </w:r>
          <w:r w:rsidRPr="00A546D7">
            <w:rPr>
              <w:rFonts w:ascii="Times New Roman" w:hAnsi="Times New Roman" w:cs="Times New Roman"/>
              <w:sz w:val="20"/>
              <w:szCs w:val="20"/>
            </w:rPr>
            <w:instrText xml:space="preserve"> CITATION Kuh13 \l 1033 </w:instrText>
          </w:r>
          <w:r w:rsidRPr="00A546D7">
            <w:rPr>
              <w:rFonts w:ascii="Times New Roman" w:hAnsi="Times New Roman" w:cs="Times New Roman"/>
              <w:sz w:val="20"/>
              <w:szCs w:val="20"/>
            </w:rPr>
            <w:fldChar w:fldCharType="separate"/>
          </w:r>
          <w:r w:rsidRPr="00A546D7">
            <w:rPr>
              <w:rFonts w:ascii="Times New Roman" w:hAnsi="Times New Roman" w:cs="Times New Roman"/>
              <w:noProof/>
              <w:sz w:val="20"/>
              <w:szCs w:val="20"/>
            </w:rPr>
            <w:t>(Kuhn, 2013)</w:t>
          </w:r>
          <w:r w:rsidRPr="00A546D7">
            <w:rPr>
              <w:rFonts w:ascii="Times New Roman" w:hAnsi="Times New Roman" w:cs="Times New Roman"/>
              <w:sz w:val="20"/>
              <w:szCs w:val="20"/>
            </w:rPr>
            <w:fldChar w:fldCharType="end"/>
          </w:r>
        </w:sdtContent>
      </w:sdt>
      <w:r w:rsidRPr="00A546D7">
        <w:rPr>
          <w:rFonts w:ascii="Times New Roman" w:hAnsi="Times New Roman" w:cs="Times New Roman"/>
          <w:sz w:val="20"/>
          <w:szCs w:val="20"/>
        </w:rPr>
        <w:t xml:space="preserve"> because in most of Asian countries, ageing rates are rising even surpassing </w:t>
      </w:r>
      <w:r w:rsidRPr="00A546D7">
        <w:rPr>
          <w:rFonts w:ascii="Times New Roman" w:hAnsi="Times New Roman" w:cs="Times New Roman"/>
          <w:sz w:val="20"/>
          <w:szCs w:val="20"/>
        </w:rPr>
        <w:lastRenderedPageBreak/>
        <w:t xml:space="preserve">those of the developed countries </w:t>
      </w:r>
      <w:sdt>
        <w:sdtPr>
          <w:rPr>
            <w:rFonts w:ascii="Times New Roman" w:hAnsi="Times New Roman" w:cs="Times New Roman"/>
            <w:sz w:val="20"/>
            <w:szCs w:val="20"/>
          </w:rPr>
          <w:id w:val="1236825753"/>
          <w:citation/>
        </w:sdtPr>
        <w:sdtEndPr/>
        <w:sdtContent>
          <w:r w:rsidRPr="00A546D7">
            <w:rPr>
              <w:rFonts w:ascii="Times New Roman" w:hAnsi="Times New Roman" w:cs="Times New Roman"/>
              <w:sz w:val="20"/>
              <w:szCs w:val="20"/>
            </w:rPr>
            <w:fldChar w:fldCharType="begin"/>
          </w:r>
          <w:r w:rsidRPr="00A546D7">
            <w:rPr>
              <w:rFonts w:ascii="Times New Roman" w:hAnsi="Times New Roman" w:cs="Times New Roman"/>
              <w:sz w:val="20"/>
              <w:szCs w:val="20"/>
            </w:rPr>
            <w:instrText xml:space="preserve"> CITATION Lim03 \l 1033 </w:instrText>
          </w:r>
          <w:r w:rsidRPr="00A546D7">
            <w:rPr>
              <w:rFonts w:ascii="Times New Roman" w:hAnsi="Times New Roman" w:cs="Times New Roman"/>
              <w:sz w:val="20"/>
              <w:szCs w:val="20"/>
            </w:rPr>
            <w:fldChar w:fldCharType="separate"/>
          </w:r>
          <w:r w:rsidRPr="00A546D7">
            <w:rPr>
              <w:rFonts w:ascii="Times New Roman" w:hAnsi="Times New Roman" w:cs="Times New Roman"/>
              <w:noProof/>
              <w:sz w:val="20"/>
              <w:szCs w:val="20"/>
            </w:rPr>
            <w:t>(Lim, 2003)</w:t>
          </w:r>
          <w:r w:rsidRPr="00A546D7">
            <w:rPr>
              <w:rFonts w:ascii="Times New Roman" w:hAnsi="Times New Roman" w:cs="Times New Roman"/>
              <w:sz w:val="20"/>
              <w:szCs w:val="20"/>
            </w:rPr>
            <w:fldChar w:fldCharType="end"/>
          </w:r>
        </w:sdtContent>
      </w:sdt>
      <w:r w:rsidRPr="00A546D7">
        <w:rPr>
          <w:rFonts w:ascii="Times New Roman" w:hAnsi="Times New Roman" w:cs="Times New Roman"/>
          <w:sz w:val="20"/>
          <w:szCs w:val="20"/>
        </w:rPr>
        <w:t>.</w:t>
      </w:r>
    </w:p>
    <w:p w:rsidR="00A546D7" w:rsidRPr="00A546D7" w:rsidRDefault="00A546D7" w:rsidP="00A546D7">
      <w:pPr>
        <w:spacing w:after="0" w:line="240" w:lineRule="auto"/>
        <w:jc w:val="both"/>
        <w:rPr>
          <w:rFonts w:ascii="Times New Roman" w:hAnsi="Times New Roman" w:cs="Times New Roman"/>
          <w:sz w:val="20"/>
          <w:szCs w:val="20"/>
        </w:rPr>
      </w:pPr>
    </w:p>
    <w:p w:rsidR="00B03B44" w:rsidRPr="00A546D7" w:rsidRDefault="00A546D7" w:rsidP="00A546D7">
      <w:pPr>
        <w:pStyle w:val="AbstractStyle"/>
        <w:rPr>
          <w:i w:val="0"/>
          <w:sz w:val="20"/>
        </w:rPr>
      </w:pPr>
      <w:r w:rsidRPr="00A546D7">
        <w:rPr>
          <w:rFonts w:cs="Times New Roman"/>
          <w:i w:val="0"/>
          <w:sz w:val="20"/>
        </w:rPr>
        <w:t xml:space="preserve">Sri Lanka is going to be an aged economy by 2050 and also, a significant rate of elderly population is still economically active by fostering their family economy and the nation’s economy </w:t>
      </w:r>
      <w:sdt>
        <w:sdtPr>
          <w:rPr>
            <w:rFonts w:cs="Times New Roman"/>
            <w:i w:val="0"/>
            <w:sz w:val="20"/>
          </w:rPr>
          <w:id w:val="-1064871248"/>
          <w:citation/>
        </w:sdtPr>
        <w:sdtEndPr/>
        <w:sdtContent>
          <w:r w:rsidRPr="00A546D7">
            <w:rPr>
              <w:rFonts w:cs="Times New Roman"/>
              <w:i w:val="0"/>
              <w:sz w:val="20"/>
            </w:rPr>
            <w:fldChar w:fldCharType="begin"/>
          </w:r>
          <w:r w:rsidRPr="00A546D7">
            <w:rPr>
              <w:rFonts w:cs="Times New Roman"/>
              <w:i w:val="0"/>
              <w:sz w:val="20"/>
            </w:rPr>
            <w:instrText xml:space="preserve"> CITATION DeS13 \l 1033 </w:instrText>
          </w:r>
          <w:r w:rsidRPr="00A546D7">
            <w:rPr>
              <w:rFonts w:cs="Times New Roman"/>
              <w:i w:val="0"/>
              <w:sz w:val="20"/>
            </w:rPr>
            <w:fldChar w:fldCharType="separate"/>
          </w:r>
          <w:r w:rsidRPr="00A546D7">
            <w:rPr>
              <w:rFonts w:cs="Times New Roman"/>
              <w:i w:val="0"/>
              <w:noProof/>
              <w:sz w:val="20"/>
            </w:rPr>
            <w:t>(De Silva &amp; Fernando, 2013)</w:t>
          </w:r>
          <w:r w:rsidRPr="00A546D7">
            <w:rPr>
              <w:rFonts w:cs="Times New Roman"/>
              <w:i w:val="0"/>
              <w:sz w:val="20"/>
            </w:rPr>
            <w:fldChar w:fldCharType="end"/>
          </w:r>
        </w:sdtContent>
      </w:sdt>
      <w:r w:rsidRPr="00A546D7">
        <w:rPr>
          <w:rFonts w:cs="Times New Roman"/>
          <w:i w:val="0"/>
          <w:sz w:val="20"/>
        </w:rPr>
        <w:t xml:space="preserve">. However, there is a severe deficit of academic investigations on the extent to which the growth in employment of retired employees in the modern century </w:t>
      </w:r>
      <w:sdt>
        <w:sdtPr>
          <w:rPr>
            <w:rFonts w:cs="Times New Roman"/>
            <w:i w:val="0"/>
            <w:sz w:val="20"/>
          </w:rPr>
          <w:id w:val="-1682200300"/>
          <w:citation/>
        </w:sdtPr>
        <w:sdtEndPr/>
        <w:sdtContent>
          <w:r w:rsidRPr="00A546D7">
            <w:rPr>
              <w:rFonts w:cs="Times New Roman"/>
              <w:i w:val="0"/>
              <w:sz w:val="20"/>
            </w:rPr>
            <w:fldChar w:fldCharType="begin"/>
          </w:r>
          <w:r w:rsidRPr="00A546D7">
            <w:rPr>
              <w:rFonts w:cs="Times New Roman"/>
              <w:i w:val="0"/>
              <w:sz w:val="20"/>
            </w:rPr>
            <w:instrText xml:space="preserve"> CITATION Lai16 \l 1033 </w:instrText>
          </w:r>
          <w:r w:rsidRPr="00A546D7">
            <w:rPr>
              <w:rFonts w:cs="Times New Roman"/>
              <w:i w:val="0"/>
              <w:sz w:val="20"/>
            </w:rPr>
            <w:fldChar w:fldCharType="separate"/>
          </w:r>
          <w:r w:rsidRPr="00A546D7">
            <w:rPr>
              <w:rFonts w:cs="Times New Roman"/>
              <w:i w:val="0"/>
              <w:noProof/>
              <w:sz w:val="20"/>
            </w:rPr>
            <w:t>(Lain &amp; Loretto, 2016)</w:t>
          </w:r>
          <w:r w:rsidRPr="00A546D7">
            <w:rPr>
              <w:rFonts w:cs="Times New Roman"/>
              <w:i w:val="0"/>
              <w:sz w:val="20"/>
            </w:rPr>
            <w:fldChar w:fldCharType="end"/>
          </w:r>
        </w:sdtContent>
      </w:sdt>
      <w:r w:rsidRPr="00A546D7">
        <w:rPr>
          <w:rFonts w:cs="Times New Roman"/>
          <w:i w:val="0"/>
          <w:sz w:val="20"/>
        </w:rPr>
        <w:t xml:space="preserve"> though there is a clear cut trend in Sri Lanka re</w:t>
      </w:r>
      <w:r w:rsidR="002C7201">
        <w:rPr>
          <w:rFonts w:cs="Times New Roman"/>
          <w:i w:val="0"/>
          <w:sz w:val="20"/>
        </w:rPr>
        <w:t>lating to the Post-</w:t>
      </w:r>
      <w:r w:rsidRPr="00A546D7">
        <w:rPr>
          <w:rFonts w:cs="Times New Roman"/>
          <w:i w:val="0"/>
          <w:sz w:val="20"/>
        </w:rPr>
        <w:t>Retirement Employment. Therefore this study is committed to explore the sig</w:t>
      </w:r>
      <w:r w:rsidR="002C7201">
        <w:rPr>
          <w:rFonts w:cs="Times New Roman"/>
          <w:i w:val="0"/>
          <w:sz w:val="20"/>
        </w:rPr>
        <w:t>nificant determinants of Post-</w:t>
      </w:r>
      <w:r w:rsidRPr="00A546D7">
        <w:rPr>
          <w:rFonts w:cs="Times New Roman"/>
          <w:i w:val="0"/>
          <w:sz w:val="20"/>
        </w:rPr>
        <w:t>Retirement Employment behavior in Sri Lankan labor force</w:t>
      </w:r>
    </w:p>
    <w:p w:rsidR="00A546D7" w:rsidRDefault="00A546D7" w:rsidP="000E0E19">
      <w:pPr>
        <w:pStyle w:val="AbstractStyle"/>
        <w:rPr>
          <w:i w:val="0"/>
          <w:sz w:val="20"/>
        </w:rPr>
      </w:pPr>
    </w:p>
    <w:p w:rsidR="00A546D7" w:rsidRDefault="00A546D7" w:rsidP="00A546D7">
      <w:pPr>
        <w:pStyle w:val="AbstractStyle"/>
        <w:spacing w:after="200"/>
        <w:rPr>
          <w:b/>
          <w:i w:val="0"/>
          <w:sz w:val="24"/>
        </w:rPr>
      </w:pPr>
      <w:r>
        <w:rPr>
          <w:b/>
          <w:i w:val="0"/>
          <w:sz w:val="24"/>
        </w:rPr>
        <w:t>Review of Literature</w:t>
      </w:r>
    </w:p>
    <w:p w:rsidR="00A546D7" w:rsidRDefault="00A546D7" w:rsidP="00A546D7">
      <w:pPr>
        <w:spacing w:after="0" w:line="240" w:lineRule="auto"/>
        <w:jc w:val="both"/>
        <w:rPr>
          <w:rFonts w:ascii="Times New Roman" w:hAnsi="Times New Roman" w:cs="Times New Roman"/>
          <w:sz w:val="20"/>
          <w:szCs w:val="20"/>
        </w:rPr>
      </w:pPr>
      <w:r w:rsidRPr="00A546D7">
        <w:rPr>
          <w:rFonts w:ascii="Times New Roman" w:hAnsi="Times New Roman" w:cs="Times New Roman"/>
          <w:sz w:val="20"/>
          <w:szCs w:val="20"/>
        </w:rPr>
        <w:t xml:space="preserve">Depending on a comprehensive literature review for this exploratory study, it is found that </w:t>
      </w:r>
      <w:r w:rsidRPr="003C3A43">
        <w:rPr>
          <w:rFonts w:ascii="Times New Roman" w:hAnsi="Times New Roman" w:cs="Times New Roman"/>
          <w:bCs/>
          <w:sz w:val="20"/>
          <w:szCs w:val="20"/>
        </w:rPr>
        <w:t>there are plenty of literature available in European and American contexts but no acceptable academic investigations to be found in Asian context focusing on Sri Lanka.</w:t>
      </w:r>
      <w:r w:rsidRPr="00A546D7">
        <w:rPr>
          <w:rFonts w:ascii="Times New Roman" w:hAnsi="Times New Roman" w:cs="Times New Roman"/>
          <w:sz w:val="20"/>
          <w:szCs w:val="20"/>
        </w:rPr>
        <w:t xml:space="preserve"> It is discovered couple of socio economic theories and </w:t>
      </w:r>
      <w:r w:rsidR="003C3A43">
        <w:rPr>
          <w:rFonts w:ascii="Times New Roman" w:hAnsi="Times New Roman" w:cs="Times New Roman"/>
          <w:sz w:val="20"/>
          <w:szCs w:val="20"/>
        </w:rPr>
        <w:t>factors affecting to the post-</w:t>
      </w:r>
      <w:r w:rsidRPr="00A546D7">
        <w:rPr>
          <w:rFonts w:ascii="Times New Roman" w:hAnsi="Times New Roman" w:cs="Times New Roman"/>
          <w:sz w:val="20"/>
          <w:szCs w:val="20"/>
        </w:rPr>
        <w:t>retirement employment decisions of an employee focusing on Sri Lanka.</w:t>
      </w:r>
    </w:p>
    <w:p w:rsidR="00A546D7" w:rsidRDefault="00A546D7" w:rsidP="00A546D7">
      <w:pPr>
        <w:spacing w:after="0" w:line="240" w:lineRule="auto"/>
        <w:jc w:val="both"/>
        <w:rPr>
          <w:rFonts w:ascii="Times New Roman" w:hAnsi="Times New Roman" w:cs="Times New Roman"/>
          <w:sz w:val="20"/>
          <w:szCs w:val="20"/>
        </w:rPr>
      </w:pPr>
    </w:p>
    <w:p w:rsidR="009F07A9" w:rsidRDefault="009F07A9" w:rsidP="00A546D7">
      <w:pPr>
        <w:spacing w:after="0" w:line="240" w:lineRule="auto"/>
        <w:jc w:val="both"/>
        <w:rPr>
          <w:rFonts w:ascii="Times New Roman" w:hAnsi="Times New Roman" w:cs="Times New Roman"/>
          <w:b/>
          <w:sz w:val="20"/>
          <w:szCs w:val="20"/>
        </w:rPr>
      </w:pPr>
      <w:r w:rsidRPr="009F07A9">
        <w:rPr>
          <w:rFonts w:ascii="Times New Roman" w:hAnsi="Times New Roman" w:cs="Times New Roman"/>
          <w:b/>
          <w:sz w:val="20"/>
          <w:szCs w:val="20"/>
        </w:rPr>
        <w:t xml:space="preserve">Theoretical Background </w:t>
      </w:r>
    </w:p>
    <w:p w:rsidR="009F07A9" w:rsidRDefault="009F07A9" w:rsidP="00A546D7">
      <w:pPr>
        <w:spacing w:after="0" w:line="240" w:lineRule="auto"/>
        <w:jc w:val="both"/>
        <w:rPr>
          <w:rFonts w:ascii="Times New Roman" w:hAnsi="Times New Roman" w:cs="Times New Roman"/>
          <w:b/>
          <w:sz w:val="20"/>
          <w:szCs w:val="20"/>
        </w:rPr>
      </w:pPr>
    </w:p>
    <w:p w:rsidR="009F07A9" w:rsidRPr="009F07A9" w:rsidRDefault="009F07A9" w:rsidP="009F07A9">
      <w:pPr>
        <w:spacing w:after="0" w:line="240" w:lineRule="auto"/>
        <w:jc w:val="both"/>
        <w:rPr>
          <w:rFonts w:ascii="Times New Roman" w:hAnsi="Times New Roman" w:cs="Times New Roman"/>
          <w:sz w:val="20"/>
          <w:szCs w:val="20"/>
        </w:rPr>
      </w:pPr>
      <w:r w:rsidRPr="009F07A9">
        <w:rPr>
          <w:rFonts w:ascii="Times New Roman" w:hAnsi="Times New Roman" w:cs="Times New Roman"/>
          <w:sz w:val="20"/>
          <w:szCs w:val="20"/>
        </w:rPr>
        <w:t xml:space="preserve">Strong theoretical support is obtained by the </w:t>
      </w:r>
      <w:r w:rsidR="003C3A43" w:rsidRPr="003C3A43">
        <w:rPr>
          <w:rFonts w:ascii="Times New Roman" w:hAnsi="Times New Roman" w:cs="Times New Roman"/>
          <w:b/>
          <w:bCs/>
          <w:sz w:val="20"/>
          <w:szCs w:val="20"/>
        </w:rPr>
        <w:t>Work-</w:t>
      </w:r>
      <w:r w:rsidRPr="003C3A43">
        <w:rPr>
          <w:rFonts w:ascii="Times New Roman" w:hAnsi="Times New Roman" w:cs="Times New Roman"/>
          <w:b/>
          <w:bCs/>
          <w:sz w:val="20"/>
          <w:szCs w:val="20"/>
        </w:rPr>
        <w:t>Adjustment Theory</w:t>
      </w:r>
      <w:r w:rsidRPr="009F07A9">
        <w:rPr>
          <w:rFonts w:ascii="Times New Roman" w:hAnsi="Times New Roman" w:cs="Times New Roman"/>
          <w:sz w:val="20"/>
          <w:szCs w:val="20"/>
        </w:rPr>
        <w:t xml:space="preserve"> (Dawis, England &amp; Lofquist, 1964). If there is a best fit between rewards and personal values, an employee may remain at the workplace even without considering the retirement regulations. To fulfill this sit</w:t>
      </w:r>
      <w:r w:rsidR="003C3A43">
        <w:rPr>
          <w:rFonts w:ascii="Times New Roman" w:hAnsi="Times New Roman" w:cs="Times New Roman"/>
          <w:sz w:val="20"/>
          <w:szCs w:val="20"/>
        </w:rPr>
        <w:t>uation, there is another best-</w:t>
      </w:r>
      <w:r w:rsidRPr="009F07A9">
        <w:rPr>
          <w:rFonts w:ascii="Times New Roman" w:hAnsi="Times New Roman" w:cs="Times New Roman"/>
          <w:sz w:val="20"/>
          <w:szCs w:val="20"/>
        </w:rPr>
        <w:t xml:space="preserve">fit to be met from the organizational aspect which is called the fit between employee’s abilities and job demands. If both fits are fulfilled, employees adjust themselves with the workplace. Employer could expect an organizational citizenship behaviour from the employee </w:t>
      </w:r>
      <w:r w:rsidRPr="009F07A9">
        <w:rPr>
          <w:rFonts w:ascii="Times New Roman" w:hAnsi="Times New Roman" w:cs="Times New Roman"/>
          <w:sz w:val="20"/>
          <w:szCs w:val="20"/>
        </w:rPr>
        <w:lastRenderedPageBreak/>
        <w:t>because values and job related skills orient with the current job and the organization.</w:t>
      </w:r>
    </w:p>
    <w:p w:rsidR="009F07A9" w:rsidRPr="009F07A9" w:rsidRDefault="009F07A9" w:rsidP="009F07A9">
      <w:pPr>
        <w:spacing w:after="0" w:line="240" w:lineRule="auto"/>
        <w:jc w:val="both"/>
        <w:rPr>
          <w:rFonts w:ascii="Times New Roman" w:hAnsi="Times New Roman" w:cs="Times New Roman"/>
          <w:sz w:val="20"/>
          <w:szCs w:val="20"/>
        </w:rPr>
      </w:pPr>
    </w:p>
    <w:p w:rsidR="009F07A9" w:rsidRPr="009F07A9" w:rsidRDefault="009F07A9" w:rsidP="009F07A9">
      <w:pPr>
        <w:spacing w:after="0" w:line="240" w:lineRule="auto"/>
        <w:jc w:val="both"/>
        <w:rPr>
          <w:rFonts w:ascii="Times New Roman" w:hAnsi="Times New Roman" w:cs="Times New Roman"/>
          <w:sz w:val="20"/>
          <w:szCs w:val="20"/>
        </w:rPr>
      </w:pPr>
      <w:r w:rsidRPr="009F07A9">
        <w:rPr>
          <w:rFonts w:ascii="Times New Roman" w:hAnsi="Times New Roman" w:cs="Times New Roman"/>
          <w:b/>
          <w:bCs/>
          <w:sz w:val="20"/>
          <w:szCs w:val="20"/>
        </w:rPr>
        <w:t>Activity Theory</w:t>
      </w:r>
      <w:r w:rsidRPr="009F07A9">
        <w:rPr>
          <w:rFonts w:ascii="Times New Roman" w:hAnsi="Times New Roman" w:cs="Times New Roman"/>
          <w:sz w:val="20"/>
          <w:szCs w:val="20"/>
        </w:rPr>
        <w:t xml:space="preserve"> (Havighurst, 1961) institutes a strong foundation to the purpose of this study. It is explained if elders who could be active and healthier, personal relationships are more satisfied in later life. This theory influences indi</w:t>
      </w:r>
      <w:r w:rsidR="003C3A43">
        <w:rPr>
          <w:rFonts w:ascii="Times New Roman" w:hAnsi="Times New Roman" w:cs="Times New Roman"/>
          <w:sz w:val="20"/>
          <w:szCs w:val="20"/>
        </w:rPr>
        <w:t>rectly to the concept of Post-</w:t>
      </w:r>
      <w:r w:rsidRPr="009F07A9">
        <w:rPr>
          <w:rFonts w:ascii="Times New Roman" w:hAnsi="Times New Roman" w:cs="Times New Roman"/>
          <w:sz w:val="20"/>
          <w:szCs w:val="20"/>
        </w:rPr>
        <w:t xml:space="preserve">Retirement Employment. The theory suggests that older people should continue the previous life roles, relationships and activities (working, caring and volunteering) while addressing new life roles </w:t>
      </w:r>
      <w:sdt>
        <w:sdtPr>
          <w:rPr>
            <w:rFonts w:ascii="Times New Roman" w:hAnsi="Times New Roman" w:cs="Times New Roman"/>
            <w:sz w:val="20"/>
            <w:szCs w:val="20"/>
          </w:rPr>
          <w:id w:val="267745085"/>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CITATION Zac17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(Zacher &amp; Rudolph, 2017)</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Thus, it is not expected a relaxing or isolated life from older people but to be busier as before the retirement. But it is also disclosed that this theory ignores the socio-economic and health inequalities of older workers. </w:t>
      </w:r>
    </w:p>
    <w:p w:rsidR="009F07A9" w:rsidRPr="009F07A9" w:rsidRDefault="009F07A9" w:rsidP="009F07A9">
      <w:pPr>
        <w:spacing w:after="0" w:line="240" w:lineRule="auto"/>
        <w:jc w:val="both"/>
        <w:rPr>
          <w:rFonts w:ascii="Times New Roman" w:hAnsi="Times New Roman" w:cs="Times New Roman"/>
          <w:sz w:val="20"/>
          <w:szCs w:val="20"/>
        </w:rPr>
      </w:pPr>
    </w:p>
    <w:p w:rsidR="009F07A9" w:rsidRPr="009F07A9" w:rsidRDefault="003C3A43" w:rsidP="009F07A9">
      <w:pPr>
        <w:spacing w:after="0" w:line="240" w:lineRule="auto"/>
        <w:jc w:val="both"/>
        <w:rPr>
          <w:rFonts w:ascii="Times New Roman" w:hAnsi="Times New Roman" w:cs="Times New Roman"/>
          <w:sz w:val="20"/>
          <w:szCs w:val="20"/>
        </w:rPr>
      </w:pPr>
      <w:r>
        <w:rPr>
          <w:rFonts w:ascii="Times New Roman" w:hAnsi="Times New Roman" w:cs="Times New Roman"/>
          <w:sz w:val="20"/>
          <w:szCs w:val="20"/>
        </w:rPr>
        <w:t>Post-</w:t>
      </w:r>
      <w:r w:rsidR="009F07A9" w:rsidRPr="009F07A9">
        <w:rPr>
          <w:rFonts w:ascii="Times New Roman" w:hAnsi="Times New Roman" w:cs="Times New Roman"/>
          <w:sz w:val="20"/>
          <w:szCs w:val="20"/>
        </w:rPr>
        <w:t xml:space="preserve">Retirement Employment is associated with the </w:t>
      </w:r>
      <w:r w:rsidR="009F07A9" w:rsidRPr="009F07A9">
        <w:rPr>
          <w:rFonts w:ascii="Times New Roman" w:hAnsi="Times New Roman" w:cs="Times New Roman"/>
          <w:b/>
          <w:bCs/>
          <w:sz w:val="20"/>
          <w:szCs w:val="20"/>
        </w:rPr>
        <w:t xml:space="preserve">Continuity Theory </w:t>
      </w:r>
      <w:r w:rsidR="009F07A9" w:rsidRPr="009F07A9">
        <w:rPr>
          <w:rFonts w:ascii="Times New Roman" w:hAnsi="Times New Roman" w:cs="Times New Roman"/>
          <w:sz w:val="20"/>
          <w:szCs w:val="20"/>
        </w:rPr>
        <w:t xml:space="preserve">(Atchley, 1971). Under this theory, it is ascertained that most of older workers maintain activities and relationships from previous life stages. Thus, they could maintain their occupational related relationship and activities (job) even after the retirement. This was presented as an extension of the activity theory and there are two types of continuities coming under under this theory. </w:t>
      </w:r>
      <w:r w:rsidR="009F07A9" w:rsidRPr="009F07A9">
        <w:rPr>
          <w:rFonts w:ascii="Times New Roman" w:hAnsi="Times New Roman" w:cs="Times New Roman"/>
          <w:b/>
          <w:bCs/>
          <w:sz w:val="20"/>
          <w:szCs w:val="20"/>
        </w:rPr>
        <w:t>Internal continuity</w:t>
      </w:r>
      <w:r w:rsidR="009F07A9" w:rsidRPr="009F07A9">
        <w:rPr>
          <w:rFonts w:ascii="Times New Roman" w:hAnsi="Times New Roman" w:cs="Times New Roman"/>
          <w:sz w:val="20"/>
          <w:szCs w:val="20"/>
        </w:rPr>
        <w:t xml:space="preserve"> demarcates the memory on ideas, experiences, affect and skills whereas </w:t>
      </w:r>
      <w:r w:rsidR="009F07A9" w:rsidRPr="009F07A9">
        <w:rPr>
          <w:rFonts w:ascii="Times New Roman" w:hAnsi="Times New Roman" w:cs="Times New Roman"/>
          <w:b/>
          <w:bCs/>
          <w:sz w:val="20"/>
          <w:szCs w:val="20"/>
        </w:rPr>
        <w:t>external equity</w:t>
      </w:r>
      <w:r w:rsidR="009F07A9" w:rsidRPr="009F07A9">
        <w:rPr>
          <w:rFonts w:ascii="Times New Roman" w:hAnsi="Times New Roman" w:cs="Times New Roman"/>
          <w:sz w:val="20"/>
          <w:szCs w:val="20"/>
        </w:rPr>
        <w:t xml:space="preserve"> emphasizes the role performance, activities and relation</w:t>
      </w:r>
      <w:r>
        <w:rPr>
          <w:rFonts w:ascii="Times New Roman" w:hAnsi="Times New Roman" w:cs="Times New Roman"/>
          <w:sz w:val="20"/>
          <w:szCs w:val="20"/>
        </w:rPr>
        <w:t>ships. Having focused on Post-</w:t>
      </w:r>
      <w:r w:rsidR="009F07A9" w:rsidRPr="009F07A9">
        <w:rPr>
          <w:rFonts w:ascii="Times New Roman" w:hAnsi="Times New Roman" w:cs="Times New Roman"/>
          <w:sz w:val="20"/>
          <w:szCs w:val="20"/>
        </w:rPr>
        <w:t>Retirement Employment, it is justified the preference of older people toward re-employment and the consistency of their work related features such as personality, values, preferences and beliefs.</w:t>
      </w:r>
    </w:p>
    <w:p w:rsidR="009F07A9" w:rsidRPr="009F07A9" w:rsidRDefault="009F07A9" w:rsidP="009F07A9">
      <w:pPr>
        <w:spacing w:after="0" w:line="240" w:lineRule="auto"/>
        <w:jc w:val="both"/>
        <w:rPr>
          <w:rFonts w:ascii="Times New Roman" w:hAnsi="Times New Roman" w:cs="Times New Roman"/>
          <w:sz w:val="20"/>
          <w:szCs w:val="20"/>
        </w:rPr>
      </w:pPr>
    </w:p>
    <w:p w:rsidR="009F07A9" w:rsidRDefault="009F07A9" w:rsidP="009F07A9">
      <w:pPr>
        <w:spacing w:after="0" w:line="240" w:lineRule="auto"/>
        <w:jc w:val="both"/>
        <w:rPr>
          <w:rFonts w:ascii="Times New Roman" w:hAnsi="Times New Roman" w:cs="Times New Roman"/>
          <w:sz w:val="20"/>
          <w:szCs w:val="20"/>
        </w:rPr>
      </w:pPr>
      <w:r w:rsidRPr="009F07A9">
        <w:rPr>
          <w:rFonts w:ascii="Times New Roman" w:hAnsi="Times New Roman" w:cs="Times New Roman"/>
          <w:b/>
          <w:bCs/>
          <w:sz w:val="20"/>
          <w:szCs w:val="20"/>
        </w:rPr>
        <w:t xml:space="preserve">Job Search Theory </w:t>
      </w:r>
      <w:r w:rsidRPr="009F07A9">
        <w:rPr>
          <w:rFonts w:ascii="Times New Roman" w:hAnsi="Times New Roman" w:cs="Times New Roman"/>
          <w:sz w:val="20"/>
          <w:szCs w:val="20"/>
        </w:rPr>
        <w:t>(McCall &amp; Mortensen, 1970) makes a significant contribution to foster this study dom</w:t>
      </w:r>
      <w:r w:rsidR="003C3A43">
        <w:rPr>
          <w:rFonts w:ascii="Times New Roman" w:hAnsi="Times New Roman" w:cs="Times New Roman"/>
          <w:sz w:val="20"/>
          <w:szCs w:val="20"/>
        </w:rPr>
        <w:t>ain of Post-</w:t>
      </w:r>
      <w:r w:rsidRPr="009F07A9">
        <w:rPr>
          <w:rFonts w:ascii="Times New Roman" w:hAnsi="Times New Roman" w:cs="Times New Roman"/>
          <w:sz w:val="20"/>
          <w:szCs w:val="20"/>
        </w:rPr>
        <w:t>Retirement Employment.</w:t>
      </w:r>
      <w:r w:rsidRPr="009F07A9">
        <w:rPr>
          <w:rFonts w:ascii="Times New Roman" w:hAnsi="Times New Roman" w:cs="Times New Roman"/>
          <w:b/>
          <w:bCs/>
          <w:sz w:val="20"/>
          <w:szCs w:val="20"/>
        </w:rPr>
        <w:t xml:space="preserve"> </w:t>
      </w:r>
      <w:r w:rsidRPr="009F07A9">
        <w:rPr>
          <w:rFonts w:ascii="Times New Roman" w:hAnsi="Times New Roman" w:cs="Times New Roman"/>
          <w:sz w:val="20"/>
          <w:szCs w:val="20"/>
        </w:rPr>
        <w:t>The emphasis of this theory is, age is not a concerning fac</w:t>
      </w:r>
      <w:r w:rsidRPr="009F07A9">
        <w:rPr>
          <w:rFonts w:ascii="Times New Roman" w:hAnsi="Times New Roman" w:cs="Times New Roman"/>
          <w:sz w:val="20"/>
          <w:szCs w:val="20"/>
        </w:rPr>
        <w:lastRenderedPageBreak/>
        <w:t>tor for finding the most suitable job opportunity even in later ages (after the retirement). Thus, age become</w:t>
      </w:r>
      <w:r w:rsidR="003C3A43">
        <w:rPr>
          <w:rFonts w:ascii="Times New Roman" w:hAnsi="Times New Roman" w:cs="Times New Roman"/>
          <w:sz w:val="20"/>
          <w:szCs w:val="20"/>
        </w:rPr>
        <w:t>s an immaterial factor in job-</w:t>
      </w:r>
      <w:r w:rsidRPr="009F07A9">
        <w:rPr>
          <w:rFonts w:ascii="Times New Roman" w:hAnsi="Times New Roman" w:cs="Times New Roman"/>
          <w:sz w:val="20"/>
          <w:szCs w:val="20"/>
        </w:rPr>
        <w:t>search model and one of its basic assumption is that individuals have infinite lifetime (Faggian, 2014).</w:t>
      </w:r>
    </w:p>
    <w:p w:rsidR="009F07A9" w:rsidRDefault="009F07A9" w:rsidP="009F07A9">
      <w:pPr>
        <w:spacing w:after="0" w:line="240" w:lineRule="auto"/>
        <w:jc w:val="both"/>
        <w:rPr>
          <w:rFonts w:ascii="Times New Roman" w:hAnsi="Times New Roman" w:cs="Times New Roman"/>
          <w:sz w:val="20"/>
          <w:szCs w:val="20"/>
        </w:rPr>
      </w:pPr>
    </w:p>
    <w:p w:rsidR="009F07A9" w:rsidRPr="009F07A9" w:rsidRDefault="009F07A9" w:rsidP="009F07A9">
      <w:pPr>
        <w:spacing w:after="0" w:line="360" w:lineRule="auto"/>
        <w:jc w:val="both"/>
        <w:rPr>
          <w:rFonts w:ascii="Times New Roman" w:hAnsi="Times New Roman" w:cs="Times New Roman"/>
          <w:b/>
          <w:bCs/>
          <w:sz w:val="20"/>
          <w:szCs w:val="20"/>
        </w:rPr>
      </w:pPr>
      <w:r w:rsidRPr="009F07A9">
        <w:rPr>
          <w:rFonts w:ascii="Times New Roman" w:hAnsi="Times New Roman" w:cs="Times New Roman"/>
          <w:b/>
          <w:bCs/>
          <w:sz w:val="20"/>
          <w:szCs w:val="20"/>
        </w:rPr>
        <w:t>Factor Exploration</w:t>
      </w:r>
    </w:p>
    <w:p w:rsidR="009F07A9" w:rsidRPr="001946B2" w:rsidRDefault="009F07A9" w:rsidP="009F07A9">
      <w:pPr>
        <w:spacing w:after="0" w:line="360" w:lineRule="auto"/>
        <w:jc w:val="both"/>
        <w:rPr>
          <w:rFonts w:ascii="Times New Roman" w:hAnsi="Times New Roman" w:cs="Times New Roman"/>
          <w:b/>
          <w:bCs/>
          <w:i/>
          <w:iCs/>
          <w:sz w:val="8"/>
          <w:szCs w:val="8"/>
        </w:rPr>
      </w:pPr>
    </w:p>
    <w:p w:rsidR="009F07A9" w:rsidRPr="009F07A9" w:rsidRDefault="009F07A9" w:rsidP="009F07A9">
      <w:pPr>
        <w:spacing w:after="0" w:line="240" w:lineRule="auto"/>
        <w:jc w:val="both"/>
        <w:rPr>
          <w:rFonts w:ascii="Times New Roman" w:hAnsi="Times New Roman" w:cs="Times New Roman"/>
          <w:sz w:val="20"/>
          <w:szCs w:val="20"/>
        </w:rPr>
      </w:pPr>
      <w:r w:rsidRPr="009F07A9">
        <w:rPr>
          <w:rFonts w:ascii="Times New Roman" w:hAnsi="Times New Roman" w:cs="Times New Roman"/>
          <w:sz w:val="20"/>
          <w:szCs w:val="20"/>
        </w:rPr>
        <w:t>Depending on the previous literature on this study domain, fourteen factors were e</w:t>
      </w:r>
      <w:r w:rsidR="003C3A43">
        <w:rPr>
          <w:rFonts w:ascii="Times New Roman" w:hAnsi="Times New Roman" w:cs="Times New Roman"/>
          <w:sz w:val="20"/>
          <w:szCs w:val="20"/>
        </w:rPr>
        <w:t>xplored affecting to the Post-</w:t>
      </w:r>
      <w:r w:rsidRPr="009F07A9">
        <w:rPr>
          <w:rFonts w:ascii="Times New Roman" w:hAnsi="Times New Roman" w:cs="Times New Roman"/>
          <w:sz w:val="20"/>
          <w:szCs w:val="20"/>
        </w:rPr>
        <w:t>Retirement Employment.</w:t>
      </w:r>
    </w:p>
    <w:p w:rsidR="009F07A9" w:rsidRPr="009F07A9" w:rsidRDefault="009F07A9" w:rsidP="009F07A9">
      <w:pPr>
        <w:spacing w:after="0" w:line="240" w:lineRule="auto"/>
        <w:jc w:val="both"/>
        <w:rPr>
          <w:rFonts w:ascii="Times New Roman" w:hAnsi="Times New Roman" w:cs="Times New Roman"/>
          <w:sz w:val="20"/>
          <w:szCs w:val="20"/>
        </w:rPr>
      </w:pPr>
    </w:p>
    <w:p w:rsidR="009F07A9" w:rsidRPr="009F07A9" w:rsidRDefault="009F07A9" w:rsidP="009F07A9">
      <w:pPr>
        <w:spacing w:after="0" w:line="240" w:lineRule="auto"/>
        <w:jc w:val="both"/>
        <w:rPr>
          <w:rFonts w:ascii="Times New Roman" w:hAnsi="Times New Roman" w:cs="Times New Roman"/>
          <w:sz w:val="20"/>
          <w:szCs w:val="20"/>
        </w:rPr>
      </w:pPr>
      <w:r w:rsidRPr="009F07A9">
        <w:rPr>
          <w:rFonts w:ascii="Times New Roman" w:hAnsi="Times New Roman" w:cs="Times New Roman"/>
          <w:b/>
          <w:bCs/>
          <w:sz w:val="20"/>
          <w:szCs w:val="20"/>
        </w:rPr>
        <w:t xml:space="preserve">Expertise: </w:t>
      </w:r>
      <w:r w:rsidRPr="009F07A9">
        <w:rPr>
          <w:rFonts w:ascii="Times New Roman" w:hAnsi="Times New Roman" w:cs="Times New Roman"/>
          <w:sz w:val="20"/>
          <w:szCs w:val="20"/>
        </w:rPr>
        <w:t xml:space="preserve">Skills of older workers is a key factor for productivity which correlates with job performance </w:t>
      </w:r>
      <w:sdt>
        <w:sdtPr>
          <w:rPr>
            <w:rFonts w:ascii="Times New Roman" w:hAnsi="Times New Roman" w:cs="Times New Roman"/>
            <w:sz w:val="20"/>
            <w:szCs w:val="20"/>
          </w:rPr>
          <w:id w:val="227965760"/>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Tur13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(Turek &amp; Perek-Bialas, 2013)</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The skills required from employees in the modern century differ from older skill sets and employees should be up to date and maintain their modern level skills (Robinson, 2000; Shaw, 2001 as cited in Patrickson &amp; Ranzijn, 2003).</w:t>
      </w:r>
    </w:p>
    <w:p w:rsidR="009F07A9" w:rsidRPr="009F07A9" w:rsidRDefault="009F07A9" w:rsidP="009F07A9">
      <w:pPr>
        <w:spacing w:after="0" w:line="240" w:lineRule="auto"/>
        <w:jc w:val="both"/>
        <w:rPr>
          <w:rFonts w:ascii="Times New Roman" w:hAnsi="Times New Roman" w:cs="Times New Roman"/>
          <w:sz w:val="20"/>
          <w:szCs w:val="20"/>
        </w:rPr>
      </w:pPr>
    </w:p>
    <w:p w:rsidR="009F07A9" w:rsidRPr="009F07A9" w:rsidRDefault="003C3A43" w:rsidP="009F07A9">
      <w:pPr>
        <w:spacing w:after="0" w:line="240" w:lineRule="auto"/>
        <w:jc w:val="both"/>
        <w:rPr>
          <w:rFonts w:ascii="Times New Roman" w:hAnsi="Times New Roman" w:cs="Times New Roman"/>
          <w:sz w:val="20"/>
          <w:szCs w:val="20"/>
        </w:rPr>
      </w:pPr>
      <w:r>
        <w:rPr>
          <w:rFonts w:ascii="Times New Roman" w:hAnsi="Times New Roman" w:cs="Times New Roman"/>
          <w:b/>
          <w:bCs/>
          <w:sz w:val="20"/>
          <w:szCs w:val="20"/>
        </w:rPr>
        <w:t>Motivation for Post-</w:t>
      </w:r>
      <w:r w:rsidR="009F07A9" w:rsidRPr="009F07A9">
        <w:rPr>
          <w:rFonts w:ascii="Times New Roman" w:hAnsi="Times New Roman" w:cs="Times New Roman"/>
          <w:b/>
          <w:bCs/>
          <w:sz w:val="20"/>
          <w:szCs w:val="20"/>
        </w:rPr>
        <w:t xml:space="preserve">Retirement Employment: </w:t>
      </w:r>
      <w:r w:rsidR="009F07A9" w:rsidRPr="009F07A9">
        <w:rPr>
          <w:rFonts w:ascii="Times New Roman" w:hAnsi="Times New Roman" w:cs="Times New Roman"/>
          <w:sz w:val="20"/>
          <w:szCs w:val="20"/>
        </w:rPr>
        <w:t xml:space="preserve">Vroom (1964) defined motivation as a process governing the choice made by an individual among alternative forms of voluntary activity. </w:t>
      </w:r>
      <w:r w:rsidR="009F07A9" w:rsidRPr="009F07A9">
        <w:rPr>
          <w:rFonts w:ascii="Times New Roman" w:hAnsi="Times New Roman" w:cs="Times New Roman"/>
          <w:b/>
          <w:bCs/>
          <w:sz w:val="20"/>
          <w:szCs w:val="20"/>
        </w:rPr>
        <w:t>Future time perspective</w:t>
      </w:r>
      <w:r w:rsidR="009F07A9" w:rsidRPr="009F07A9">
        <w:rPr>
          <w:rFonts w:ascii="Times New Roman" w:hAnsi="Times New Roman" w:cs="Times New Roman"/>
          <w:sz w:val="20"/>
          <w:szCs w:val="20"/>
        </w:rPr>
        <w:t xml:space="preserve"> and </w:t>
      </w:r>
      <w:r w:rsidR="009F07A9" w:rsidRPr="009F07A9">
        <w:rPr>
          <w:rFonts w:ascii="Times New Roman" w:hAnsi="Times New Roman" w:cs="Times New Roman"/>
          <w:b/>
          <w:bCs/>
          <w:sz w:val="20"/>
          <w:szCs w:val="20"/>
        </w:rPr>
        <w:t>goal orientation</w:t>
      </w:r>
      <w:r w:rsidR="009F07A9" w:rsidRPr="009F07A9">
        <w:rPr>
          <w:rFonts w:ascii="Times New Roman" w:hAnsi="Times New Roman" w:cs="Times New Roman"/>
          <w:sz w:val="20"/>
          <w:szCs w:val="20"/>
        </w:rPr>
        <w:t xml:space="preserve"> define the relationship between ageing and motivation to stay employable (Elliot &amp; McGregor, 2001; Carstensen, 2006 as cited in Emanuel, Simon &amp; Segars, 2016).</w:t>
      </w:r>
    </w:p>
    <w:p w:rsidR="009F07A9" w:rsidRPr="009F07A9" w:rsidRDefault="009F07A9" w:rsidP="009F07A9">
      <w:pPr>
        <w:spacing w:after="0" w:line="240" w:lineRule="auto"/>
        <w:jc w:val="both"/>
        <w:rPr>
          <w:rFonts w:ascii="Times New Roman" w:hAnsi="Times New Roman" w:cs="Times New Roman"/>
          <w:sz w:val="20"/>
          <w:szCs w:val="20"/>
        </w:rPr>
      </w:pPr>
    </w:p>
    <w:p w:rsidR="009F07A9" w:rsidRPr="009F07A9" w:rsidRDefault="003C3A43" w:rsidP="009F07A9">
      <w:pPr>
        <w:spacing w:after="0" w:line="240" w:lineRule="auto"/>
        <w:jc w:val="both"/>
        <w:rPr>
          <w:rFonts w:ascii="Times New Roman" w:hAnsi="Times New Roman" w:cs="Times New Roman"/>
          <w:noProof/>
          <w:sz w:val="20"/>
          <w:szCs w:val="20"/>
        </w:rPr>
      </w:pPr>
      <w:r>
        <w:rPr>
          <w:rFonts w:ascii="Times New Roman" w:hAnsi="Times New Roman" w:cs="Times New Roman"/>
          <w:b/>
          <w:bCs/>
          <w:sz w:val="20"/>
          <w:szCs w:val="20"/>
        </w:rPr>
        <w:t>Post-</w:t>
      </w:r>
      <w:r w:rsidR="009F07A9" w:rsidRPr="009F07A9">
        <w:rPr>
          <w:rFonts w:ascii="Times New Roman" w:hAnsi="Times New Roman" w:cs="Times New Roman"/>
          <w:b/>
          <w:bCs/>
          <w:sz w:val="20"/>
          <w:szCs w:val="20"/>
        </w:rPr>
        <w:t xml:space="preserve">Retirement Learning: </w:t>
      </w:r>
      <w:r>
        <w:rPr>
          <w:rFonts w:ascii="Times New Roman" w:hAnsi="Times New Roman" w:cs="Times New Roman"/>
          <w:sz w:val="20"/>
          <w:szCs w:val="20"/>
        </w:rPr>
        <w:t>Post-</w:t>
      </w:r>
      <w:r w:rsidR="009F07A9" w:rsidRPr="009F07A9">
        <w:rPr>
          <w:rFonts w:ascii="Times New Roman" w:hAnsi="Times New Roman" w:cs="Times New Roman"/>
          <w:sz w:val="20"/>
          <w:szCs w:val="20"/>
        </w:rPr>
        <w:t xml:space="preserve">retirement learning highly correlates to the experience that gained at the workplaces by retired employees </w:t>
      </w:r>
      <w:sdt>
        <w:sdtPr>
          <w:rPr>
            <w:rFonts w:ascii="Times New Roman" w:hAnsi="Times New Roman" w:cs="Times New Roman"/>
            <w:sz w:val="20"/>
            <w:szCs w:val="20"/>
          </w:rPr>
          <w:id w:val="361332772"/>
          <w:citation/>
        </w:sdtPr>
        <w:sdtEndPr/>
        <w:sdtContent>
          <w:r w:rsidR="009F07A9" w:rsidRPr="009F07A9">
            <w:rPr>
              <w:rFonts w:ascii="Times New Roman" w:hAnsi="Times New Roman" w:cs="Times New Roman"/>
              <w:sz w:val="20"/>
              <w:szCs w:val="20"/>
            </w:rPr>
            <w:fldChar w:fldCharType="begin"/>
          </w:r>
          <w:r w:rsidR="009F07A9" w:rsidRPr="009F07A9">
            <w:rPr>
              <w:rFonts w:ascii="Times New Roman" w:hAnsi="Times New Roman" w:cs="Times New Roman"/>
              <w:sz w:val="20"/>
              <w:szCs w:val="20"/>
            </w:rPr>
            <w:instrText xml:space="preserve"> CITATION Pau15 \l 1033 </w:instrText>
          </w:r>
          <w:r w:rsidR="009F07A9" w:rsidRPr="009F07A9">
            <w:rPr>
              <w:rFonts w:ascii="Times New Roman" w:hAnsi="Times New Roman" w:cs="Times New Roman"/>
              <w:sz w:val="20"/>
              <w:szCs w:val="20"/>
            </w:rPr>
            <w:fldChar w:fldCharType="separate"/>
          </w:r>
          <w:r w:rsidR="009F07A9" w:rsidRPr="009F07A9">
            <w:rPr>
              <w:rFonts w:ascii="Times New Roman" w:hAnsi="Times New Roman" w:cs="Times New Roman"/>
              <w:noProof/>
              <w:sz w:val="20"/>
              <w:szCs w:val="20"/>
            </w:rPr>
            <w:t>(Paul, Kate, &amp; Black, 2015)</w:t>
          </w:r>
          <w:r w:rsidR="009F07A9" w:rsidRPr="009F07A9">
            <w:rPr>
              <w:rFonts w:ascii="Times New Roman" w:hAnsi="Times New Roman" w:cs="Times New Roman"/>
              <w:sz w:val="20"/>
              <w:szCs w:val="20"/>
            </w:rPr>
            <w:fldChar w:fldCharType="end"/>
          </w:r>
        </w:sdtContent>
      </w:sdt>
      <w:r w:rsidR="009F07A9" w:rsidRPr="009F07A9">
        <w:rPr>
          <w:rFonts w:ascii="Times New Roman" w:hAnsi="Times New Roman" w:cs="Times New Roman"/>
          <w:sz w:val="20"/>
          <w:szCs w:val="20"/>
        </w:rPr>
        <w:t xml:space="preserve">. Both older male and female employees now want not only to retain in their jobs but also retrained for sharpening the future (Walker, 1990). There is an inverse relationship between receiving developmental opportunities and at the job and intention of full retirement which means future development potential for older workers if they continue working without retiring </w:t>
      </w:r>
      <w:sdt>
        <w:sdtPr>
          <w:rPr>
            <w:rFonts w:ascii="Times New Roman" w:hAnsi="Times New Roman" w:cs="Times New Roman"/>
            <w:sz w:val="20"/>
            <w:szCs w:val="20"/>
          </w:rPr>
          <w:id w:val="2037380252"/>
          <w:citation/>
        </w:sdtPr>
        <w:sdtEndPr/>
        <w:sdtContent>
          <w:r w:rsidR="009F07A9" w:rsidRPr="009F07A9">
            <w:rPr>
              <w:rFonts w:ascii="Times New Roman" w:hAnsi="Times New Roman" w:cs="Times New Roman"/>
              <w:sz w:val="20"/>
              <w:szCs w:val="20"/>
            </w:rPr>
            <w:fldChar w:fldCharType="begin"/>
          </w:r>
          <w:r w:rsidR="009F07A9" w:rsidRPr="009F07A9">
            <w:rPr>
              <w:rFonts w:ascii="Times New Roman" w:hAnsi="Times New Roman" w:cs="Times New Roman"/>
              <w:sz w:val="20"/>
              <w:szCs w:val="20"/>
            </w:rPr>
            <w:instrText xml:space="preserve"> CITATION Zap08 \l 1033 </w:instrText>
          </w:r>
          <w:r w:rsidR="009F07A9" w:rsidRPr="009F07A9">
            <w:rPr>
              <w:rFonts w:ascii="Times New Roman" w:hAnsi="Times New Roman" w:cs="Times New Roman"/>
              <w:sz w:val="20"/>
              <w:szCs w:val="20"/>
            </w:rPr>
            <w:fldChar w:fldCharType="separate"/>
          </w:r>
          <w:r w:rsidR="009F07A9" w:rsidRPr="009F07A9">
            <w:rPr>
              <w:rFonts w:ascii="Times New Roman" w:hAnsi="Times New Roman" w:cs="Times New Roman"/>
              <w:noProof/>
              <w:sz w:val="20"/>
              <w:szCs w:val="20"/>
            </w:rPr>
            <w:t xml:space="preserve">(Zappala, Depolo, Fraccaroli, Guglielmi, &amp; Sarchielli, </w:t>
          </w:r>
          <w:r w:rsidR="009F07A9" w:rsidRPr="009F07A9">
            <w:rPr>
              <w:rFonts w:ascii="Times New Roman" w:hAnsi="Times New Roman" w:cs="Times New Roman"/>
              <w:noProof/>
              <w:sz w:val="20"/>
              <w:szCs w:val="20"/>
            </w:rPr>
            <w:lastRenderedPageBreak/>
            <w:t>2008)</w:t>
          </w:r>
          <w:r w:rsidR="009F07A9" w:rsidRPr="009F07A9">
            <w:rPr>
              <w:rFonts w:ascii="Times New Roman" w:hAnsi="Times New Roman" w:cs="Times New Roman"/>
              <w:sz w:val="20"/>
              <w:szCs w:val="20"/>
            </w:rPr>
            <w:fldChar w:fldCharType="end"/>
          </w:r>
        </w:sdtContent>
      </w:sdt>
      <w:r w:rsidR="009F07A9" w:rsidRPr="009F07A9">
        <w:rPr>
          <w:rFonts w:ascii="Times New Roman" w:hAnsi="Times New Roman" w:cs="Times New Roman"/>
          <w:sz w:val="20"/>
          <w:szCs w:val="20"/>
        </w:rPr>
        <w:t xml:space="preserve">. </w:t>
      </w:r>
      <w:r w:rsidR="009F07A9" w:rsidRPr="009F07A9">
        <w:rPr>
          <w:rFonts w:ascii="Times New Roman" w:hAnsi="Times New Roman" w:cs="Times New Roman"/>
          <w:noProof/>
          <w:sz w:val="20"/>
          <w:szCs w:val="20"/>
        </w:rPr>
        <w:t xml:space="preserve">Schlosser, Zinni and Armstrong-Stassen (2012) acsertained that there is a persuasion among retirees to arrive back to the labour market with the intention of upgrading the knowledge, skills and abilities and those retirees could be called as continuos learners. </w:t>
      </w:r>
    </w:p>
    <w:p w:rsidR="009F07A9" w:rsidRPr="009F07A9" w:rsidRDefault="009F07A9" w:rsidP="009F07A9">
      <w:pPr>
        <w:spacing w:after="0" w:line="240" w:lineRule="auto"/>
        <w:jc w:val="both"/>
        <w:rPr>
          <w:rFonts w:ascii="Times New Roman" w:hAnsi="Times New Roman" w:cs="Times New Roman"/>
          <w:noProof/>
          <w:sz w:val="20"/>
          <w:szCs w:val="20"/>
        </w:rPr>
      </w:pPr>
    </w:p>
    <w:p w:rsidR="009F07A9" w:rsidRPr="009F07A9" w:rsidRDefault="003C3A43" w:rsidP="009F07A9">
      <w:pPr>
        <w:spacing w:after="0" w:line="240" w:lineRule="auto"/>
        <w:jc w:val="both"/>
        <w:rPr>
          <w:rFonts w:ascii="Times New Roman" w:hAnsi="Times New Roman" w:cs="Times New Roman"/>
          <w:noProof/>
          <w:sz w:val="20"/>
          <w:szCs w:val="20"/>
        </w:rPr>
      </w:pPr>
      <w:r>
        <w:rPr>
          <w:rFonts w:ascii="Times New Roman" w:hAnsi="Times New Roman" w:cs="Times New Roman"/>
          <w:b/>
          <w:bCs/>
          <w:noProof/>
          <w:sz w:val="20"/>
          <w:szCs w:val="20"/>
        </w:rPr>
        <w:t>Self-</w:t>
      </w:r>
      <w:r w:rsidR="009F07A9" w:rsidRPr="009F07A9">
        <w:rPr>
          <w:rFonts w:ascii="Times New Roman" w:hAnsi="Times New Roman" w:cs="Times New Roman"/>
          <w:b/>
          <w:bCs/>
          <w:noProof/>
          <w:sz w:val="20"/>
          <w:szCs w:val="20"/>
        </w:rPr>
        <w:t xml:space="preserve">Actualization: </w:t>
      </w:r>
      <w:r w:rsidR="009F07A9" w:rsidRPr="009F07A9">
        <w:rPr>
          <w:rFonts w:ascii="Times New Roman" w:hAnsi="Times New Roman" w:cs="Times New Roman"/>
          <w:noProof/>
          <w:sz w:val="20"/>
          <w:szCs w:val="20"/>
        </w:rPr>
        <w:t xml:space="preserve">Many managerial employees in the corporate world modernly perceive that older labour could be applied as a substitute to the younger labour </w:t>
      </w:r>
      <w:sdt>
        <w:sdtPr>
          <w:rPr>
            <w:rFonts w:ascii="Times New Roman" w:hAnsi="Times New Roman" w:cs="Times New Roman"/>
            <w:noProof/>
            <w:sz w:val="20"/>
            <w:szCs w:val="20"/>
          </w:rPr>
          <w:id w:val="833343706"/>
          <w:citation/>
        </w:sdtPr>
        <w:sdtEndPr/>
        <w:sdtContent>
          <w:r w:rsidR="009F07A9" w:rsidRPr="009F07A9">
            <w:rPr>
              <w:rFonts w:ascii="Times New Roman" w:hAnsi="Times New Roman" w:cs="Times New Roman"/>
              <w:noProof/>
              <w:sz w:val="20"/>
              <w:szCs w:val="20"/>
            </w:rPr>
            <w:fldChar w:fldCharType="begin"/>
          </w:r>
          <w:r w:rsidR="009F07A9" w:rsidRPr="009F07A9">
            <w:rPr>
              <w:rFonts w:ascii="Times New Roman" w:hAnsi="Times New Roman" w:cs="Times New Roman"/>
              <w:noProof/>
              <w:sz w:val="20"/>
              <w:szCs w:val="20"/>
            </w:rPr>
            <w:instrText xml:space="preserve"> CITATION Arr97 \l 1033 </w:instrText>
          </w:r>
          <w:r w:rsidR="009F07A9" w:rsidRPr="009F07A9">
            <w:rPr>
              <w:rFonts w:ascii="Times New Roman" w:hAnsi="Times New Roman" w:cs="Times New Roman"/>
              <w:noProof/>
              <w:sz w:val="20"/>
              <w:szCs w:val="20"/>
            </w:rPr>
            <w:fldChar w:fldCharType="separate"/>
          </w:r>
          <w:r w:rsidR="009F07A9" w:rsidRPr="009F07A9">
            <w:rPr>
              <w:rFonts w:ascii="Times New Roman" w:hAnsi="Times New Roman" w:cs="Times New Roman"/>
              <w:noProof/>
              <w:sz w:val="20"/>
              <w:szCs w:val="20"/>
            </w:rPr>
            <w:t>(Arrowsmith &amp; McGoldrick, 1997)</w:t>
          </w:r>
          <w:r w:rsidR="009F07A9" w:rsidRPr="009F07A9">
            <w:rPr>
              <w:rFonts w:ascii="Times New Roman" w:hAnsi="Times New Roman" w:cs="Times New Roman"/>
              <w:noProof/>
              <w:sz w:val="20"/>
              <w:szCs w:val="20"/>
            </w:rPr>
            <w:fldChar w:fldCharType="end"/>
          </w:r>
        </w:sdtContent>
      </w:sdt>
      <w:r>
        <w:rPr>
          <w:rFonts w:ascii="Times New Roman" w:hAnsi="Times New Roman" w:cs="Times New Roman"/>
          <w:noProof/>
          <w:sz w:val="20"/>
          <w:szCs w:val="20"/>
        </w:rPr>
        <w:t xml:space="preserve">. </w:t>
      </w:r>
      <w:r w:rsidR="009F07A9" w:rsidRPr="009F07A9">
        <w:rPr>
          <w:rFonts w:ascii="Times New Roman" w:hAnsi="Times New Roman" w:cs="Times New Roman"/>
          <w:noProof/>
          <w:sz w:val="20"/>
          <w:szCs w:val="20"/>
        </w:rPr>
        <w:t xml:space="preserve">Many retired employees are nowadays looking for re-employing themselves to exploit sufficient level of opportunities to deliver their tacit knowledge onto younger generations </w:t>
      </w:r>
      <w:sdt>
        <w:sdtPr>
          <w:rPr>
            <w:rFonts w:ascii="Times New Roman" w:hAnsi="Times New Roman" w:cs="Times New Roman"/>
            <w:noProof/>
            <w:sz w:val="20"/>
            <w:szCs w:val="20"/>
          </w:rPr>
          <w:id w:val="1899786036"/>
          <w:citation/>
        </w:sdtPr>
        <w:sdtEndPr/>
        <w:sdtContent>
          <w:r w:rsidR="009F07A9" w:rsidRPr="009F07A9">
            <w:rPr>
              <w:rFonts w:ascii="Times New Roman" w:hAnsi="Times New Roman" w:cs="Times New Roman"/>
              <w:noProof/>
              <w:sz w:val="20"/>
              <w:szCs w:val="20"/>
            </w:rPr>
            <w:fldChar w:fldCharType="begin"/>
          </w:r>
          <w:r w:rsidR="009F07A9" w:rsidRPr="009F07A9">
            <w:rPr>
              <w:rFonts w:ascii="Times New Roman" w:hAnsi="Times New Roman" w:cs="Times New Roman"/>
              <w:noProof/>
              <w:sz w:val="20"/>
              <w:szCs w:val="20"/>
            </w:rPr>
            <w:instrText xml:space="preserve"> CITATION Fly10 \l 1033 </w:instrText>
          </w:r>
          <w:r w:rsidR="009F07A9" w:rsidRPr="009F07A9">
            <w:rPr>
              <w:rFonts w:ascii="Times New Roman" w:hAnsi="Times New Roman" w:cs="Times New Roman"/>
              <w:noProof/>
              <w:sz w:val="20"/>
              <w:szCs w:val="20"/>
            </w:rPr>
            <w:fldChar w:fldCharType="separate"/>
          </w:r>
          <w:r w:rsidR="009F07A9" w:rsidRPr="009F07A9">
            <w:rPr>
              <w:rFonts w:ascii="Times New Roman" w:hAnsi="Times New Roman" w:cs="Times New Roman"/>
              <w:noProof/>
              <w:sz w:val="20"/>
              <w:szCs w:val="20"/>
            </w:rPr>
            <w:t>(Flynn, 2010)</w:t>
          </w:r>
          <w:r w:rsidR="009F07A9" w:rsidRPr="009F07A9">
            <w:rPr>
              <w:rFonts w:ascii="Times New Roman" w:hAnsi="Times New Roman" w:cs="Times New Roman"/>
              <w:noProof/>
              <w:sz w:val="20"/>
              <w:szCs w:val="20"/>
            </w:rPr>
            <w:fldChar w:fldCharType="end"/>
          </w:r>
        </w:sdtContent>
      </w:sdt>
      <w:r w:rsidR="009F07A9" w:rsidRPr="009F07A9">
        <w:rPr>
          <w:rFonts w:ascii="Times New Roman" w:hAnsi="Times New Roman" w:cs="Times New Roman"/>
          <w:noProof/>
          <w:sz w:val="20"/>
          <w:szCs w:val="20"/>
        </w:rPr>
        <w:t xml:space="preserve">. </w:t>
      </w:r>
      <w:r w:rsidR="009F07A9" w:rsidRPr="009F07A9">
        <w:rPr>
          <w:rFonts w:ascii="Times New Roman" w:hAnsi="Times New Roman" w:cs="Times New Roman"/>
          <w:b/>
          <w:bCs/>
          <w:noProof/>
          <w:sz w:val="20"/>
          <w:szCs w:val="20"/>
        </w:rPr>
        <w:t>Meaningfulness</w:t>
      </w:r>
      <w:r w:rsidR="009F07A9" w:rsidRPr="009F07A9">
        <w:rPr>
          <w:rFonts w:ascii="Times New Roman" w:hAnsi="Times New Roman" w:cs="Times New Roman"/>
          <w:noProof/>
          <w:sz w:val="20"/>
          <w:szCs w:val="20"/>
        </w:rPr>
        <w:t xml:space="preserve"> of working becomes a prerequisite for r</w:t>
      </w:r>
      <w:r>
        <w:rPr>
          <w:rFonts w:ascii="Times New Roman" w:hAnsi="Times New Roman" w:cs="Times New Roman"/>
          <w:noProof/>
          <w:sz w:val="20"/>
          <w:szCs w:val="20"/>
        </w:rPr>
        <w:t>etired employees because self-</w:t>
      </w:r>
      <w:r w:rsidR="009F07A9" w:rsidRPr="009F07A9">
        <w:rPr>
          <w:rFonts w:ascii="Times New Roman" w:hAnsi="Times New Roman" w:cs="Times New Roman"/>
          <w:noProof/>
          <w:sz w:val="20"/>
          <w:szCs w:val="20"/>
        </w:rPr>
        <w:t xml:space="preserve">identity and the work role could leave a person to seek an employment at retirement ages </w:t>
      </w:r>
      <w:sdt>
        <w:sdtPr>
          <w:rPr>
            <w:rFonts w:ascii="Times New Roman" w:hAnsi="Times New Roman" w:cs="Times New Roman"/>
            <w:noProof/>
            <w:sz w:val="20"/>
            <w:szCs w:val="20"/>
          </w:rPr>
          <w:id w:val="370967000"/>
          <w:citation/>
        </w:sdtPr>
        <w:sdtEndPr/>
        <w:sdtContent>
          <w:r w:rsidR="009F07A9" w:rsidRPr="009F07A9">
            <w:rPr>
              <w:rFonts w:ascii="Times New Roman" w:hAnsi="Times New Roman" w:cs="Times New Roman"/>
              <w:noProof/>
              <w:sz w:val="20"/>
              <w:szCs w:val="20"/>
            </w:rPr>
            <w:fldChar w:fldCharType="begin"/>
          </w:r>
          <w:r w:rsidR="009F07A9" w:rsidRPr="009F07A9">
            <w:rPr>
              <w:rFonts w:ascii="Times New Roman" w:hAnsi="Times New Roman" w:cs="Times New Roman"/>
              <w:noProof/>
              <w:sz w:val="20"/>
              <w:szCs w:val="20"/>
            </w:rPr>
            <w:instrText xml:space="preserve"> CITATION The16 \l 1033 </w:instrText>
          </w:r>
          <w:r w:rsidR="009F07A9" w:rsidRPr="009F07A9">
            <w:rPr>
              <w:rFonts w:ascii="Times New Roman" w:hAnsi="Times New Roman" w:cs="Times New Roman"/>
              <w:noProof/>
              <w:sz w:val="20"/>
              <w:szCs w:val="20"/>
            </w:rPr>
            <w:fldChar w:fldCharType="separate"/>
          </w:r>
          <w:r w:rsidR="009F07A9" w:rsidRPr="009F07A9">
            <w:rPr>
              <w:rFonts w:ascii="Times New Roman" w:hAnsi="Times New Roman" w:cs="Times New Roman"/>
              <w:noProof/>
              <w:sz w:val="20"/>
              <w:szCs w:val="20"/>
            </w:rPr>
            <w:t>(Fasbender, Wang, Voltmer, &amp; Deller, 2015)</w:t>
          </w:r>
          <w:r w:rsidR="009F07A9" w:rsidRPr="009F07A9">
            <w:rPr>
              <w:rFonts w:ascii="Times New Roman" w:hAnsi="Times New Roman" w:cs="Times New Roman"/>
              <w:noProof/>
              <w:sz w:val="20"/>
              <w:szCs w:val="20"/>
            </w:rPr>
            <w:fldChar w:fldCharType="end"/>
          </w:r>
        </w:sdtContent>
      </w:sdt>
      <w:r>
        <w:rPr>
          <w:rFonts w:ascii="Times New Roman" w:hAnsi="Times New Roman" w:cs="Times New Roman"/>
          <w:noProof/>
          <w:sz w:val="20"/>
          <w:szCs w:val="20"/>
        </w:rPr>
        <w:t xml:space="preserve">. </w:t>
      </w:r>
      <w:r w:rsidR="009F07A9" w:rsidRPr="009F07A9">
        <w:rPr>
          <w:rFonts w:ascii="Times New Roman" w:hAnsi="Times New Roman" w:cs="Times New Roman"/>
          <w:b/>
          <w:bCs/>
          <w:noProof/>
          <w:sz w:val="20"/>
          <w:szCs w:val="20"/>
        </w:rPr>
        <w:t xml:space="preserve">Occupational Generativity </w:t>
      </w:r>
      <w:r>
        <w:rPr>
          <w:rFonts w:ascii="Times New Roman" w:hAnsi="Times New Roman" w:cs="Times New Roman"/>
          <w:noProof/>
          <w:sz w:val="20"/>
          <w:szCs w:val="20"/>
        </w:rPr>
        <w:t>enables post-</w:t>
      </w:r>
      <w:r w:rsidR="009F07A9" w:rsidRPr="009F07A9">
        <w:rPr>
          <w:rFonts w:ascii="Times New Roman" w:hAnsi="Times New Roman" w:cs="Times New Roman"/>
          <w:noProof/>
          <w:sz w:val="20"/>
          <w:szCs w:val="20"/>
        </w:rPr>
        <w:t xml:space="preserve">retired employees unleash their potential and work in mentoring capacities for younger employees at workplaces. </w:t>
      </w:r>
    </w:p>
    <w:p w:rsidR="009F07A9" w:rsidRPr="009F07A9" w:rsidRDefault="009F07A9" w:rsidP="009F07A9">
      <w:pPr>
        <w:spacing w:after="0" w:line="240" w:lineRule="auto"/>
        <w:jc w:val="both"/>
        <w:rPr>
          <w:rFonts w:ascii="Times New Roman" w:hAnsi="Times New Roman" w:cs="Times New Roman"/>
          <w:noProof/>
          <w:sz w:val="20"/>
          <w:szCs w:val="20"/>
        </w:rPr>
      </w:pPr>
    </w:p>
    <w:p w:rsidR="009F07A9" w:rsidRPr="009F07A9" w:rsidRDefault="009F07A9" w:rsidP="009F07A9">
      <w:pPr>
        <w:spacing w:after="0" w:line="240" w:lineRule="auto"/>
        <w:jc w:val="both"/>
        <w:rPr>
          <w:rFonts w:ascii="Times New Roman" w:hAnsi="Times New Roman" w:cs="Times New Roman"/>
          <w:noProof/>
          <w:sz w:val="20"/>
          <w:szCs w:val="20"/>
        </w:rPr>
      </w:pPr>
      <w:r w:rsidRPr="009F07A9">
        <w:rPr>
          <w:rFonts w:ascii="Times New Roman" w:hAnsi="Times New Roman" w:cs="Times New Roman"/>
          <w:b/>
          <w:bCs/>
          <w:noProof/>
          <w:sz w:val="20"/>
          <w:szCs w:val="20"/>
        </w:rPr>
        <w:t xml:space="preserve">Health Conditions: </w:t>
      </w:r>
      <w:r w:rsidRPr="009F07A9">
        <w:rPr>
          <w:rFonts w:ascii="Times New Roman" w:hAnsi="Times New Roman" w:cs="Times New Roman"/>
          <w:noProof/>
          <w:sz w:val="20"/>
          <w:szCs w:val="20"/>
        </w:rPr>
        <w:t xml:space="preserve">This is a widely discussed matter in terms of re-employment of older workers. Real health status could make an impact to determine retirement age </w:t>
      </w:r>
      <w:sdt>
        <w:sdtPr>
          <w:rPr>
            <w:rFonts w:ascii="Times New Roman" w:hAnsi="Times New Roman" w:cs="Times New Roman"/>
            <w:noProof/>
            <w:sz w:val="20"/>
            <w:szCs w:val="20"/>
          </w:rPr>
          <w:id w:val="-1057396575"/>
          <w:citation/>
        </w:sdtPr>
        <w:sdtEndPr/>
        <w:sdtContent>
          <w:r w:rsidRPr="009F07A9">
            <w:rPr>
              <w:rFonts w:ascii="Times New Roman" w:hAnsi="Times New Roman" w:cs="Times New Roman"/>
              <w:noProof/>
              <w:sz w:val="20"/>
              <w:szCs w:val="20"/>
            </w:rPr>
            <w:fldChar w:fldCharType="begin"/>
          </w:r>
          <w:r w:rsidRPr="009F07A9">
            <w:rPr>
              <w:rFonts w:ascii="Times New Roman" w:hAnsi="Times New Roman" w:cs="Times New Roman"/>
              <w:noProof/>
              <w:sz w:val="20"/>
              <w:szCs w:val="20"/>
            </w:rPr>
            <w:instrText xml:space="preserve"> CITATION Mes12 \l 1033 </w:instrText>
          </w:r>
          <w:r w:rsidRPr="009F07A9">
            <w:rPr>
              <w:rFonts w:ascii="Times New Roman" w:hAnsi="Times New Roman" w:cs="Times New Roman"/>
              <w:noProof/>
              <w:sz w:val="20"/>
              <w:szCs w:val="20"/>
            </w:rPr>
            <w:fldChar w:fldCharType="separate"/>
          </w:r>
          <w:r w:rsidRPr="009F07A9">
            <w:rPr>
              <w:rFonts w:ascii="Times New Roman" w:hAnsi="Times New Roman" w:cs="Times New Roman"/>
              <w:noProof/>
              <w:sz w:val="20"/>
              <w:szCs w:val="20"/>
            </w:rPr>
            <w:t>(Messe, 2012)</w:t>
          </w:r>
          <w:r w:rsidRPr="009F07A9">
            <w:rPr>
              <w:rFonts w:ascii="Times New Roman" w:hAnsi="Times New Roman" w:cs="Times New Roman"/>
              <w:noProof/>
              <w:sz w:val="20"/>
              <w:szCs w:val="20"/>
            </w:rPr>
            <w:fldChar w:fldCharType="end"/>
          </w:r>
        </w:sdtContent>
      </w:sdt>
      <w:r w:rsidRPr="009F07A9">
        <w:rPr>
          <w:rFonts w:ascii="Times New Roman" w:hAnsi="Times New Roman" w:cs="Times New Roman"/>
          <w:noProof/>
          <w:sz w:val="20"/>
          <w:szCs w:val="20"/>
        </w:rPr>
        <w:t xml:space="preserve">. Ill-health is one of the main cause which impacts on the retirement at the mandatory retirement age </w:t>
      </w:r>
      <w:sdt>
        <w:sdtPr>
          <w:rPr>
            <w:rFonts w:ascii="Times New Roman" w:hAnsi="Times New Roman" w:cs="Times New Roman"/>
            <w:noProof/>
            <w:sz w:val="20"/>
            <w:szCs w:val="20"/>
          </w:rPr>
          <w:id w:val="-986235997"/>
          <w:citation/>
        </w:sdtPr>
        <w:sdtEndPr/>
        <w:sdtContent>
          <w:r w:rsidRPr="009F07A9">
            <w:rPr>
              <w:rFonts w:ascii="Times New Roman" w:hAnsi="Times New Roman" w:cs="Times New Roman"/>
              <w:noProof/>
              <w:sz w:val="20"/>
              <w:szCs w:val="20"/>
            </w:rPr>
            <w:fldChar w:fldCharType="begin"/>
          </w:r>
          <w:r w:rsidRPr="009F07A9">
            <w:rPr>
              <w:rFonts w:ascii="Times New Roman" w:hAnsi="Times New Roman" w:cs="Times New Roman"/>
              <w:noProof/>
              <w:sz w:val="20"/>
              <w:szCs w:val="20"/>
            </w:rPr>
            <w:instrText xml:space="preserve"> CITATION Vod08 \l 1033 </w:instrText>
          </w:r>
          <w:r w:rsidRPr="009F07A9">
            <w:rPr>
              <w:rFonts w:ascii="Times New Roman" w:hAnsi="Times New Roman" w:cs="Times New Roman"/>
              <w:noProof/>
              <w:sz w:val="20"/>
              <w:szCs w:val="20"/>
            </w:rPr>
            <w:fldChar w:fldCharType="separate"/>
          </w:r>
          <w:r w:rsidRPr="009F07A9">
            <w:rPr>
              <w:rFonts w:ascii="Times New Roman" w:hAnsi="Times New Roman" w:cs="Times New Roman"/>
              <w:noProof/>
              <w:sz w:val="20"/>
              <w:szCs w:val="20"/>
            </w:rPr>
            <w:t>(Vodopivec &amp; Arunatilake, 2008)</w:t>
          </w:r>
          <w:r w:rsidRPr="009F07A9">
            <w:rPr>
              <w:rFonts w:ascii="Times New Roman" w:hAnsi="Times New Roman" w:cs="Times New Roman"/>
              <w:noProof/>
              <w:sz w:val="20"/>
              <w:szCs w:val="20"/>
            </w:rPr>
            <w:fldChar w:fldCharType="end"/>
          </w:r>
        </w:sdtContent>
      </w:sdt>
      <w:r w:rsidRPr="009F07A9">
        <w:rPr>
          <w:rFonts w:ascii="Times New Roman" w:hAnsi="Times New Roman" w:cs="Times New Roman"/>
          <w:noProof/>
          <w:sz w:val="20"/>
          <w:szCs w:val="20"/>
        </w:rPr>
        <w:t xml:space="preserve">. Person’s ability to carry out the work such as physical limitations, health problems of the worker and health of the worker’s partner (spouse) are significantly impact to retirement decisions made by older workers </w:t>
      </w:r>
      <w:sdt>
        <w:sdtPr>
          <w:rPr>
            <w:rFonts w:ascii="Times New Roman" w:hAnsi="Times New Roman" w:cs="Times New Roman"/>
            <w:noProof/>
            <w:sz w:val="20"/>
            <w:szCs w:val="20"/>
          </w:rPr>
          <w:id w:val="167370293"/>
          <w:citation/>
        </w:sdtPr>
        <w:sdtEndPr/>
        <w:sdtContent>
          <w:r w:rsidRPr="009F07A9">
            <w:rPr>
              <w:rFonts w:ascii="Times New Roman" w:hAnsi="Times New Roman" w:cs="Times New Roman"/>
              <w:noProof/>
              <w:sz w:val="20"/>
              <w:szCs w:val="20"/>
            </w:rPr>
            <w:fldChar w:fldCharType="begin"/>
          </w:r>
          <w:r w:rsidRPr="009F07A9">
            <w:rPr>
              <w:rFonts w:ascii="Times New Roman" w:hAnsi="Times New Roman" w:cs="Times New Roman"/>
              <w:noProof/>
              <w:sz w:val="20"/>
              <w:szCs w:val="20"/>
            </w:rPr>
            <w:instrText xml:space="preserve"> CITATION Sha11 \l 1033 </w:instrText>
          </w:r>
          <w:r w:rsidRPr="009F07A9">
            <w:rPr>
              <w:rFonts w:ascii="Times New Roman" w:hAnsi="Times New Roman" w:cs="Times New Roman"/>
              <w:noProof/>
              <w:sz w:val="20"/>
              <w:szCs w:val="20"/>
            </w:rPr>
            <w:fldChar w:fldCharType="separate"/>
          </w:r>
          <w:r w:rsidRPr="009F07A9">
            <w:rPr>
              <w:rFonts w:ascii="Times New Roman" w:hAnsi="Times New Roman" w:cs="Times New Roman"/>
              <w:noProof/>
              <w:sz w:val="20"/>
              <w:szCs w:val="20"/>
            </w:rPr>
            <w:t>(Shacklock &amp; Brunetto, 2011)</w:t>
          </w:r>
          <w:r w:rsidRPr="009F07A9">
            <w:rPr>
              <w:rFonts w:ascii="Times New Roman" w:hAnsi="Times New Roman" w:cs="Times New Roman"/>
              <w:noProof/>
              <w:sz w:val="20"/>
              <w:szCs w:val="20"/>
            </w:rPr>
            <w:fldChar w:fldCharType="end"/>
          </w:r>
        </w:sdtContent>
      </w:sdt>
      <w:r w:rsidRPr="009F07A9">
        <w:rPr>
          <w:rFonts w:ascii="Times New Roman" w:hAnsi="Times New Roman" w:cs="Times New Roman"/>
          <w:noProof/>
          <w:sz w:val="20"/>
          <w:szCs w:val="20"/>
        </w:rPr>
        <w:t>.</w:t>
      </w:r>
    </w:p>
    <w:p w:rsidR="009F07A9" w:rsidRPr="009F07A9" w:rsidRDefault="009F07A9" w:rsidP="009F07A9">
      <w:pPr>
        <w:spacing w:after="0" w:line="240" w:lineRule="auto"/>
        <w:jc w:val="both"/>
        <w:rPr>
          <w:rFonts w:ascii="Times New Roman" w:hAnsi="Times New Roman" w:cs="Times New Roman"/>
          <w:noProof/>
          <w:sz w:val="20"/>
          <w:szCs w:val="20"/>
        </w:rPr>
      </w:pPr>
    </w:p>
    <w:p w:rsidR="003C3A43" w:rsidRPr="00C42BCB" w:rsidRDefault="009F07A9" w:rsidP="00C42BCB">
      <w:pPr>
        <w:spacing w:after="0" w:line="240" w:lineRule="auto"/>
        <w:jc w:val="both"/>
        <w:rPr>
          <w:rFonts w:ascii="Times New Roman" w:hAnsi="Times New Roman" w:cs="Times New Roman"/>
          <w:noProof/>
          <w:sz w:val="20"/>
          <w:szCs w:val="20"/>
        </w:rPr>
      </w:pPr>
      <w:r w:rsidRPr="009F07A9">
        <w:rPr>
          <w:rFonts w:ascii="Times New Roman" w:hAnsi="Times New Roman" w:cs="Times New Roman"/>
          <w:b/>
          <w:bCs/>
          <w:noProof/>
          <w:sz w:val="20"/>
          <w:szCs w:val="20"/>
        </w:rPr>
        <w:t xml:space="preserve">Occupational Demands: </w:t>
      </w:r>
      <w:r w:rsidRPr="009F07A9">
        <w:rPr>
          <w:rFonts w:ascii="Times New Roman" w:hAnsi="Times New Roman" w:cs="Times New Roman"/>
          <w:noProof/>
          <w:sz w:val="20"/>
          <w:szCs w:val="20"/>
        </w:rPr>
        <w:t>Workplaces should be recreated that making sensitive to the needs and preferences of olde</w:t>
      </w:r>
      <w:r w:rsidR="003C3A43">
        <w:rPr>
          <w:rFonts w:ascii="Times New Roman" w:hAnsi="Times New Roman" w:cs="Times New Roman"/>
          <w:noProof/>
          <w:sz w:val="20"/>
          <w:szCs w:val="20"/>
        </w:rPr>
        <w:t xml:space="preserve">r employees (Koc-Menard, 2009). </w:t>
      </w:r>
      <w:r w:rsidRPr="009F07A9">
        <w:rPr>
          <w:rFonts w:ascii="Times New Roman" w:hAnsi="Times New Roman" w:cs="Times New Roman"/>
          <w:noProof/>
          <w:sz w:val="20"/>
          <w:szCs w:val="20"/>
        </w:rPr>
        <w:t xml:space="preserve">It is concluded the necessity of proper </w:t>
      </w:r>
      <w:r w:rsidRPr="009F07A9">
        <w:rPr>
          <w:rFonts w:ascii="Times New Roman" w:hAnsi="Times New Roman" w:cs="Times New Roman"/>
          <w:b/>
          <w:bCs/>
          <w:noProof/>
          <w:sz w:val="20"/>
          <w:szCs w:val="20"/>
        </w:rPr>
        <w:lastRenderedPageBreak/>
        <w:t>ergonomics</w:t>
      </w:r>
      <w:r w:rsidRPr="009F07A9">
        <w:rPr>
          <w:rFonts w:ascii="Times New Roman" w:hAnsi="Times New Roman" w:cs="Times New Roman"/>
          <w:noProof/>
          <w:sz w:val="20"/>
          <w:szCs w:val="20"/>
        </w:rPr>
        <w:t xml:space="preserve"> for older workforce is critical </w:t>
      </w:r>
      <w:sdt>
        <w:sdtPr>
          <w:rPr>
            <w:rFonts w:ascii="Times New Roman" w:hAnsi="Times New Roman" w:cs="Times New Roman"/>
            <w:noProof/>
            <w:sz w:val="20"/>
            <w:szCs w:val="20"/>
          </w:rPr>
          <w:id w:val="-870459787"/>
          <w:citation/>
        </w:sdtPr>
        <w:sdtEndPr/>
        <w:sdtContent>
          <w:r w:rsidRPr="009F07A9">
            <w:rPr>
              <w:rFonts w:ascii="Times New Roman" w:hAnsi="Times New Roman" w:cs="Times New Roman"/>
              <w:noProof/>
              <w:sz w:val="20"/>
              <w:szCs w:val="20"/>
            </w:rPr>
            <w:fldChar w:fldCharType="begin"/>
          </w:r>
          <w:r w:rsidRPr="009F07A9">
            <w:rPr>
              <w:rFonts w:ascii="Times New Roman" w:hAnsi="Times New Roman" w:cs="Times New Roman"/>
              <w:noProof/>
              <w:sz w:val="20"/>
              <w:szCs w:val="20"/>
            </w:rPr>
            <w:instrText xml:space="preserve"> CITATION Rop07 \l 1033 </w:instrText>
          </w:r>
          <w:r w:rsidRPr="009F07A9">
            <w:rPr>
              <w:rFonts w:ascii="Times New Roman" w:hAnsi="Times New Roman" w:cs="Times New Roman"/>
              <w:noProof/>
              <w:sz w:val="20"/>
              <w:szCs w:val="20"/>
            </w:rPr>
            <w:fldChar w:fldCharType="separate"/>
          </w:r>
          <w:r w:rsidRPr="009F07A9">
            <w:rPr>
              <w:rFonts w:ascii="Times New Roman" w:hAnsi="Times New Roman" w:cs="Times New Roman"/>
              <w:noProof/>
              <w:sz w:val="20"/>
              <w:szCs w:val="20"/>
            </w:rPr>
            <w:t>(Roper &amp; Yeh, 2007)</w:t>
          </w:r>
          <w:r w:rsidRPr="009F07A9">
            <w:rPr>
              <w:rFonts w:ascii="Times New Roman" w:hAnsi="Times New Roman" w:cs="Times New Roman"/>
              <w:noProof/>
              <w:sz w:val="20"/>
              <w:szCs w:val="20"/>
            </w:rPr>
            <w:fldChar w:fldCharType="end"/>
          </w:r>
        </w:sdtContent>
      </w:sdt>
      <w:r w:rsidRPr="009F07A9">
        <w:rPr>
          <w:rFonts w:ascii="Times New Roman" w:hAnsi="Times New Roman" w:cs="Times New Roman"/>
          <w:noProof/>
          <w:sz w:val="20"/>
          <w:szCs w:val="20"/>
        </w:rPr>
        <w:t>. Pundt, Wohrmann, Deller and Shultz (2015</w:t>
      </w:r>
      <w:r w:rsidR="003C3A43">
        <w:rPr>
          <w:rFonts w:ascii="Times New Roman" w:hAnsi="Times New Roman" w:cs="Times New Roman"/>
          <w:noProof/>
          <w:sz w:val="20"/>
          <w:szCs w:val="20"/>
        </w:rPr>
        <w:t>) pointed out the corresponding occupational</w:t>
      </w:r>
      <w:r w:rsidR="00C42BCB">
        <w:rPr>
          <w:rFonts w:ascii="Times New Roman" w:hAnsi="Times New Roman" w:cs="Times New Roman"/>
          <w:noProof/>
          <w:sz w:val="20"/>
          <w:szCs w:val="20"/>
        </w:rPr>
        <w:t xml:space="preserve"> </w:t>
      </w:r>
      <w:r w:rsidRPr="009F07A9">
        <w:rPr>
          <w:rFonts w:ascii="Times New Roman" w:hAnsi="Times New Roman" w:cs="Times New Roman"/>
          <w:noProof/>
          <w:sz w:val="20"/>
          <w:szCs w:val="20"/>
        </w:rPr>
        <w:t xml:space="preserve">characteristics associating to occupational demands namely </w:t>
      </w:r>
      <w:r w:rsidRPr="009F07A9">
        <w:rPr>
          <w:rFonts w:ascii="Times New Roman" w:hAnsi="Times New Roman" w:cs="Times New Roman"/>
          <w:b/>
          <w:bCs/>
          <w:noProof/>
          <w:sz w:val="20"/>
          <w:szCs w:val="20"/>
        </w:rPr>
        <w:t>occupational appreciation</w:t>
      </w:r>
      <w:r w:rsidRPr="009F07A9">
        <w:rPr>
          <w:rFonts w:ascii="Times New Roman" w:hAnsi="Times New Roman" w:cs="Times New Roman"/>
          <w:noProof/>
          <w:sz w:val="20"/>
          <w:szCs w:val="20"/>
        </w:rPr>
        <w:t xml:space="preserve">, </w:t>
      </w:r>
      <w:r w:rsidRPr="009F07A9">
        <w:rPr>
          <w:rFonts w:ascii="Times New Roman" w:hAnsi="Times New Roman" w:cs="Times New Roman"/>
          <w:b/>
          <w:bCs/>
          <w:noProof/>
          <w:sz w:val="20"/>
          <w:szCs w:val="20"/>
        </w:rPr>
        <w:t>occupational autonomy</w:t>
      </w:r>
      <w:r w:rsidRPr="009F07A9">
        <w:rPr>
          <w:rFonts w:ascii="Times New Roman" w:hAnsi="Times New Roman" w:cs="Times New Roman"/>
          <w:noProof/>
          <w:sz w:val="20"/>
          <w:szCs w:val="20"/>
        </w:rPr>
        <w:t xml:space="preserve"> and </w:t>
      </w:r>
      <w:r w:rsidRPr="009F07A9">
        <w:rPr>
          <w:rFonts w:ascii="Times New Roman" w:hAnsi="Times New Roman" w:cs="Times New Roman"/>
          <w:b/>
          <w:bCs/>
          <w:noProof/>
          <w:sz w:val="20"/>
          <w:szCs w:val="20"/>
        </w:rPr>
        <w:t>occupational contact</w:t>
      </w:r>
      <w:r w:rsidRPr="009F07A9">
        <w:rPr>
          <w:rFonts w:ascii="Times New Roman" w:hAnsi="Times New Roman" w:cs="Times New Roman"/>
          <w:noProof/>
          <w:sz w:val="20"/>
          <w:szCs w:val="20"/>
        </w:rPr>
        <w:t xml:space="preserve"> which are rel</w:t>
      </w:r>
      <w:r w:rsidR="003C3A43">
        <w:rPr>
          <w:rFonts w:ascii="Times New Roman" w:hAnsi="Times New Roman" w:cs="Times New Roman"/>
          <w:noProof/>
          <w:sz w:val="20"/>
          <w:szCs w:val="20"/>
        </w:rPr>
        <w:t>evant in the context for post-</w:t>
      </w:r>
      <w:r w:rsidRPr="009F07A9">
        <w:rPr>
          <w:rFonts w:ascii="Times New Roman" w:hAnsi="Times New Roman" w:cs="Times New Roman"/>
          <w:noProof/>
          <w:sz w:val="20"/>
          <w:szCs w:val="20"/>
        </w:rPr>
        <w:t>retirement work.</w:t>
      </w:r>
      <w:r w:rsidRPr="009F07A9">
        <w:rPr>
          <w:rFonts w:ascii="Times New Roman" w:hAnsi="Times New Roman" w:cs="Times New Roman"/>
          <w:b/>
          <w:bCs/>
          <w:noProof/>
          <w:sz w:val="20"/>
          <w:szCs w:val="20"/>
        </w:rPr>
        <w:t xml:space="preserve"> </w:t>
      </w:r>
      <w:r w:rsidRPr="009F07A9">
        <w:rPr>
          <w:rFonts w:ascii="Times New Roman" w:hAnsi="Times New Roman" w:cs="Times New Roman"/>
          <w:noProof/>
          <w:sz w:val="20"/>
          <w:szCs w:val="20"/>
        </w:rPr>
        <w:t xml:space="preserve">It is vital to re-arrange workplaces “retiree friendly” </w:t>
      </w:r>
      <w:sdt>
        <w:sdtPr>
          <w:rPr>
            <w:rFonts w:ascii="Times New Roman" w:hAnsi="Times New Roman" w:cs="Times New Roman"/>
            <w:b/>
            <w:bCs/>
            <w:noProof/>
            <w:sz w:val="20"/>
            <w:szCs w:val="20"/>
          </w:rPr>
          <w:id w:val="-1661612477"/>
          <w:citation/>
        </w:sdtPr>
        <w:sdtEndPr/>
        <w:sdtContent>
          <w:r w:rsidRPr="009F07A9">
            <w:rPr>
              <w:rFonts w:ascii="Times New Roman" w:hAnsi="Times New Roman" w:cs="Times New Roman"/>
              <w:b/>
              <w:bCs/>
              <w:noProof/>
              <w:sz w:val="20"/>
              <w:szCs w:val="20"/>
            </w:rPr>
            <w:fldChar w:fldCharType="begin"/>
          </w:r>
          <w:r w:rsidRPr="009F07A9">
            <w:rPr>
              <w:rFonts w:ascii="Times New Roman" w:hAnsi="Times New Roman" w:cs="Times New Roman"/>
              <w:b/>
              <w:bCs/>
              <w:noProof/>
              <w:sz w:val="20"/>
              <w:szCs w:val="20"/>
            </w:rPr>
            <w:instrText xml:space="preserve"> CITATION Des09 \l 1033 </w:instrText>
          </w:r>
          <w:r w:rsidRPr="009F07A9">
            <w:rPr>
              <w:rFonts w:ascii="Times New Roman" w:hAnsi="Times New Roman" w:cs="Times New Roman"/>
              <w:b/>
              <w:bCs/>
              <w:noProof/>
              <w:sz w:val="20"/>
              <w:szCs w:val="20"/>
            </w:rPr>
            <w:fldChar w:fldCharType="separate"/>
          </w:r>
          <w:r w:rsidRPr="009F07A9">
            <w:rPr>
              <w:rFonts w:ascii="Times New Roman" w:hAnsi="Times New Roman" w:cs="Times New Roman"/>
              <w:noProof/>
              <w:sz w:val="20"/>
              <w:szCs w:val="20"/>
            </w:rPr>
            <w:t>(Dessler &amp; Varkkey, 2009)</w:t>
          </w:r>
          <w:r w:rsidRPr="009F07A9">
            <w:rPr>
              <w:rFonts w:ascii="Times New Roman" w:hAnsi="Times New Roman" w:cs="Times New Roman"/>
              <w:b/>
              <w:bCs/>
              <w:noProof/>
              <w:sz w:val="20"/>
              <w:szCs w:val="20"/>
            </w:rPr>
            <w:fldChar w:fldCharType="end"/>
          </w:r>
        </w:sdtContent>
      </w:sdt>
      <w:r w:rsidRPr="009F07A9">
        <w:rPr>
          <w:rFonts w:ascii="Times New Roman" w:hAnsi="Times New Roman" w:cs="Times New Roman"/>
          <w:b/>
          <w:bCs/>
          <w:noProof/>
          <w:sz w:val="20"/>
          <w:szCs w:val="20"/>
        </w:rPr>
        <w:t>.</w:t>
      </w:r>
    </w:p>
    <w:p w:rsidR="009F07A9" w:rsidRPr="009F07A9" w:rsidRDefault="009F07A9" w:rsidP="009F07A9">
      <w:pPr>
        <w:spacing w:after="0" w:line="240" w:lineRule="auto"/>
        <w:jc w:val="both"/>
        <w:rPr>
          <w:rFonts w:ascii="Times New Roman" w:hAnsi="Times New Roman" w:cs="Times New Roman"/>
          <w:b/>
          <w:bCs/>
          <w:noProof/>
          <w:sz w:val="20"/>
          <w:szCs w:val="20"/>
        </w:rPr>
      </w:pPr>
    </w:p>
    <w:p w:rsidR="009F07A9" w:rsidRPr="009F07A9" w:rsidRDefault="00C42BCB" w:rsidP="009F07A9">
      <w:pPr>
        <w:spacing w:after="0" w:line="240" w:lineRule="auto"/>
        <w:jc w:val="both"/>
        <w:rPr>
          <w:rFonts w:ascii="Times New Roman" w:hAnsi="Times New Roman" w:cs="Times New Roman"/>
          <w:noProof/>
          <w:sz w:val="20"/>
          <w:szCs w:val="20"/>
        </w:rPr>
      </w:pPr>
      <w:r>
        <w:rPr>
          <w:rFonts w:ascii="Times New Roman" w:hAnsi="Times New Roman" w:cs="Times New Roman"/>
          <w:b/>
          <w:bCs/>
          <w:noProof/>
          <w:sz w:val="20"/>
          <w:szCs w:val="20"/>
        </w:rPr>
        <w:t xml:space="preserve">Legal Enforcements: </w:t>
      </w:r>
      <w:r w:rsidR="009F07A9" w:rsidRPr="009F07A9">
        <w:rPr>
          <w:rFonts w:ascii="Times New Roman" w:hAnsi="Times New Roman" w:cs="Times New Roman"/>
          <w:noProof/>
          <w:sz w:val="20"/>
          <w:szCs w:val="20"/>
        </w:rPr>
        <w:t>Legal enforcements play an essential role for enab</w:t>
      </w:r>
      <w:r>
        <w:rPr>
          <w:rFonts w:ascii="Times New Roman" w:hAnsi="Times New Roman" w:cs="Times New Roman"/>
          <w:noProof/>
          <w:sz w:val="20"/>
          <w:szCs w:val="20"/>
        </w:rPr>
        <w:t>ling re-employability of post-</w:t>
      </w:r>
      <w:r w:rsidR="009F07A9" w:rsidRPr="009F07A9">
        <w:rPr>
          <w:rFonts w:ascii="Times New Roman" w:hAnsi="Times New Roman" w:cs="Times New Roman"/>
          <w:noProof/>
          <w:sz w:val="20"/>
          <w:szCs w:val="20"/>
        </w:rPr>
        <w:t xml:space="preserve">retired employees but rigourous legal status could lead for a deterioration the re-remployability </w:t>
      </w:r>
      <w:sdt>
        <w:sdtPr>
          <w:rPr>
            <w:rFonts w:ascii="Times New Roman" w:hAnsi="Times New Roman" w:cs="Times New Roman"/>
            <w:noProof/>
            <w:sz w:val="20"/>
            <w:szCs w:val="20"/>
          </w:rPr>
          <w:id w:val="1319691595"/>
          <w:citation/>
        </w:sdtPr>
        <w:sdtEndPr/>
        <w:sdtContent>
          <w:r w:rsidR="009F07A9" w:rsidRPr="009F07A9">
            <w:rPr>
              <w:rFonts w:ascii="Times New Roman" w:hAnsi="Times New Roman" w:cs="Times New Roman"/>
              <w:noProof/>
              <w:sz w:val="20"/>
              <w:szCs w:val="20"/>
            </w:rPr>
            <w:fldChar w:fldCharType="begin"/>
          </w:r>
          <w:r w:rsidR="009F07A9" w:rsidRPr="009F07A9">
            <w:rPr>
              <w:rFonts w:ascii="Times New Roman" w:hAnsi="Times New Roman" w:cs="Times New Roman"/>
              <w:noProof/>
              <w:sz w:val="20"/>
              <w:szCs w:val="20"/>
            </w:rPr>
            <w:instrText xml:space="preserve"> CITATION Con12 \l 1033 </w:instrText>
          </w:r>
          <w:r w:rsidR="009F07A9" w:rsidRPr="009F07A9">
            <w:rPr>
              <w:rFonts w:ascii="Times New Roman" w:hAnsi="Times New Roman" w:cs="Times New Roman"/>
              <w:noProof/>
              <w:sz w:val="20"/>
              <w:szCs w:val="20"/>
            </w:rPr>
            <w:fldChar w:fldCharType="separate"/>
          </w:r>
          <w:r w:rsidR="009F07A9" w:rsidRPr="009F07A9">
            <w:rPr>
              <w:rFonts w:ascii="Times New Roman" w:hAnsi="Times New Roman" w:cs="Times New Roman"/>
              <w:noProof/>
              <w:sz w:val="20"/>
              <w:szCs w:val="20"/>
            </w:rPr>
            <w:t>(Conen, Dalen, &amp; Henkens, 2012)</w:t>
          </w:r>
          <w:r w:rsidR="009F07A9" w:rsidRPr="009F07A9">
            <w:rPr>
              <w:rFonts w:ascii="Times New Roman" w:hAnsi="Times New Roman" w:cs="Times New Roman"/>
              <w:noProof/>
              <w:sz w:val="20"/>
              <w:szCs w:val="20"/>
            </w:rPr>
            <w:fldChar w:fldCharType="end"/>
          </w:r>
        </w:sdtContent>
      </w:sdt>
      <w:r w:rsidR="009F07A9" w:rsidRPr="009F07A9">
        <w:rPr>
          <w:rFonts w:ascii="Times New Roman" w:hAnsi="Times New Roman" w:cs="Times New Roman"/>
          <w:noProof/>
          <w:sz w:val="20"/>
          <w:szCs w:val="20"/>
        </w:rPr>
        <w:t xml:space="preserve">. Labour legislature in Sri Lanka should be flexibly amended to enable older workers to work after the retirement for flex working in order to increase labour force participation in Sri Lanka </w:t>
      </w:r>
      <w:sdt>
        <w:sdtPr>
          <w:rPr>
            <w:rFonts w:ascii="Times New Roman" w:hAnsi="Times New Roman" w:cs="Times New Roman"/>
            <w:noProof/>
            <w:sz w:val="20"/>
            <w:szCs w:val="20"/>
          </w:rPr>
          <w:id w:val="-1767832540"/>
          <w:citation/>
        </w:sdtPr>
        <w:sdtEndPr/>
        <w:sdtContent>
          <w:r w:rsidR="009F07A9" w:rsidRPr="009F07A9">
            <w:rPr>
              <w:rFonts w:ascii="Times New Roman" w:hAnsi="Times New Roman" w:cs="Times New Roman"/>
              <w:noProof/>
              <w:sz w:val="20"/>
              <w:szCs w:val="20"/>
            </w:rPr>
            <w:fldChar w:fldCharType="begin"/>
          </w:r>
          <w:r w:rsidR="009F07A9" w:rsidRPr="009F07A9">
            <w:rPr>
              <w:rFonts w:ascii="Times New Roman" w:hAnsi="Times New Roman" w:cs="Times New Roman"/>
              <w:noProof/>
              <w:sz w:val="20"/>
              <w:szCs w:val="20"/>
            </w:rPr>
            <w:instrText xml:space="preserve"> CITATION Vod08 \l 1033 </w:instrText>
          </w:r>
          <w:r w:rsidR="009F07A9" w:rsidRPr="009F07A9">
            <w:rPr>
              <w:rFonts w:ascii="Times New Roman" w:hAnsi="Times New Roman" w:cs="Times New Roman"/>
              <w:noProof/>
              <w:sz w:val="20"/>
              <w:szCs w:val="20"/>
            </w:rPr>
            <w:fldChar w:fldCharType="separate"/>
          </w:r>
          <w:r w:rsidR="009F07A9" w:rsidRPr="009F07A9">
            <w:rPr>
              <w:rFonts w:ascii="Times New Roman" w:hAnsi="Times New Roman" w:cs="Times New Roman"/>
              <w:noProof/>
              <w:sz w:val="20"/>
              <w:szCs w:val="20"/>
            </w:rPr>
            <w:t>(Vodopivec &amp; Arunatilake, 2008)</w:t>
          </w:r>
          <w:r w:rsidR="009F07A9" w:rsidRPr="009F07A9">
            <w:rPr>
              <w:rFonts w:ascii="Times New Roman" w:hAnsi="Times New Roman" w:cs="Times New Roman"/>
              <w:noProof/>
              <w:sz w:val="20"/>
              <w:szCs w:val="20"/>
            </w:rPr>
            <w:fldChar w:fldCharType="end"/>
          </w:r>
        </w:sdtContent>
      </w:sdt>
      <w:r w:rsidR="009F07A9" w:rsidRPr="009F07A9">
        <w:rPr>
          <w:rFonts w:ascii="Times New Roman" w:hAnsi="Times New Roman" w:cs="Times New Roman"/>
          <w:noProof/>
          <w:sz w:val="20"/>
          <w:szCs w:val="20"/>
        </w:rPr>
        <w:t>. In Sri Lanka, retirement age for public sector employees is 60 (compulsary retirement) whereas 55 is the retirement age for private sector employees (for female employees, retirement age is 50). However, there are cosiderable excemptions for this retirement age margins.</w:t>
      </w:r>
    </w:p>
    <w:p w:rsidR="009F07A9" w:rsidRPr="009F07A9" w:rsidRDefault="009F07A9" w:rsidP="009F07A9">
      <w:pPr>
        <w:spacing w:after="0" w:line="240" w:lineRule="auto"/>
        <w:jc w:val="both"/>
        <w:rPr>
          <w:rFonts w:ascii="Times New Roman" w:hAnsi="Times New Roman" w:cs="Times New Roman"/>
          <w:sz w:val="20"/>
          <w:szCs w:val="20"/>
        </w:rPr>
      </w:pPr>
    </w:p>
    <w:p w:rsidR="009F07A9" w:rsidRPr="009F07A9" w:rsidRDefault="009F07A9" w:rsidP="009F07A9">
      <w:pPr>
        <w:spacing w:after="0" w:line="240" w:lineRule="auto"/>
        <w:jc w:val="both"/>
        <w:rPr>
          <w:rFonts w:ascii="Times New Roman" w:hAnsi="Times New Roman" w:cs="Times New Roman"/>
          <w:sz w:val="20"/>
          <w:szCs w:val="20"/>
        </w:rPr>
      </w:pPr>
      <w:r w:rsidRPr="009F07A9">
        <w:rPr>
          <w:rFonts w:ascii="Times New Roman" w:hAnsi="Times New Roman" w:cs="Times New Roman"/>
          <w:b/>
          <w:bCs/>
          <w:sz w:val="20"/>
          <w:szCs w:val="20"/>
        </w:rPr>
        <w:t xml:space="preserve">Financial Sustainability: </w:t>
      </w:r>
      <w:r w:rsidRPr="009F07A9">
        <w:rPr>
          <w:rFonts w:ascii="Times New Roman" w:hAnsi="Times New Roman" w:cs="Times New Roman"/>
          <w:sz w:val="20"/>
          <w:szCs w:val="20"/>
        </w:rPr>
        <w:t>Finance is the most prioritized reason which pu</w:t>
      </w:r>
      <w:r w:rsidR="00C42BCB">
        <w:rPr>
          <w:rFonts w:ascii="Times New Roman" w:hAnsi="Times New Roman" w:cs="Times New Roman"/>
          <w:sz w:val="20"/>
          <w:szCs w:val="20"/>
        </w:rPr>
        <w:t>shes older employees for post-</w:t>
      </w:r>
      <w:r w:rsidRPr="009F07A9">
        <w:rPr>
          <w:rFonts w:ascii="Times New Roman" w:hAnsi="Times New Roman" w:cs="Times New Roman"/>
          <w:sz w:val="20"/>
          <w:szCs w:val="20"/>
        </w:rPr>
        <w:t xml:space="preserve">retirement employment </w:t>
      </w:r>
      <w:sdt>
        <w:sdtPr>
          <w:rPr>
            <w:rFonts w:ascii="Times New Roman" w:hAnsi="Times New Roman" w:cs="Times New Roman"/>
            <w:sz w:val="20"/>
            <w:szCs w:val="20"/>
          </w:rPr>
          <w:id w:val="-1656836001"/>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Sch12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(Schlosser, Zinni, &amp; Armstrong-Stassen, 2012)</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Older workers continue to work because of financial reasons </w:t>
      </w:r>
      <w:sdt>
        <w:sdtPr>
          <w:rPr>
            <w:rFonts w:ascii="Times New Roman" w:hAnsi="Times New Roman" w:cs="Times New Roman"/>
            <w:sz w:val="20"/>
            <w:szCs w:val="20"/>
          </w:rPr>
          <w:id w:val="-823962219"/>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Koo08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(Kooij, Lange, Jansen, &amp; Dikkers, 2008)</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Retirees may need to maintain an </w:t>
      </w:r>
      <w:r w:rsidRPr="009F07A9">
        <w:rPr>
          <w:rFonts w:ascii="Times New Roman" w:hAnsi="Times New Roman" w:cs="Times New Roman"/>
          <w:b/>
          <w:bCs/>
          <w:sz w:val="20"/>
          <w:szCs w:val="20"/>
        </w:rPr>
        <w:t>affordable luxury living</w:t>
      </w:r>
      <w:r w:rsidRPr="009F07A9">
        <w:rPr>
          <w:rFonts w:ascii="Times New Roman" w:hAnsi="Times New Roman" w:cs="Times New Roman"/>
          <w:sz w:val="20"/>
          <w:szCs w:val="20"/>
        </w:rPr>
        <w:t xml:space="preserve"> with accomplishing comparatively higher living standards in the life </w:t>
      </w:r>
      <w:sdt>
        <w:sdtPr>
          <w:rPr>
            <w:rFonts w:ascii="Times New Roman" w:hAnsi="Times New Roman" w:cs="Times New Roman"/>
            <w:sz w:val="20"/>
            <w:szCs w:val="20"/>
          </w:rPr>
          <w:id w:val="-1045601259"/>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Sch12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(Schlosser, Zinni, &amp; Armstrong-Stassen, 2012)</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Monthly income </w:t>
      </w:r>
      <w:r w:rsidR="00C42BCB">
        <w:rPr>
          <w:rFonts w:ascii="Times New Roman" w:hAnsi="Times New Roman" w:cs="Times New Roman"/>
          <w:sz w:val="20"/>
          <w:szCs w:val="20"/>
        </w:rPr>
        <w:t>is regularly secured for post-</w:t>
      </w:r>
      <w:r w:rsidRPr="009F07A9">
        <w:rPr>
          <w:rFonts w:ascii="Times New Roman" w:hAnsi="Times New Roman" w:cs="Times New Roman"/>
          <w:sz w:val="20"/>
          <w:szCs w:val="20"/>
        </w:rPr>
        <w:t xml:space="preserve">retired employees because there is no significant evidence to prove the decline of monthly earning of older employees </w:t>
      </w:r>
      <w:sdt>
        <w:sdtPr>
          <w:rPr>
            <w:rFonts w:ascii="Times New Roman" w:hAnsi="Times New Roman" w:cs="Times New Roman"/>
            <w:sz w:val="20"/>
            <w:szCs w:val="20"/>
          </w:rPr>
          <w:id w:val="-1110275918"/>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Cha17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 xml:space="preserve">(Charni &amp; </w:t>
          </w:r>
          <w:r w:rsidRPr="009F07A9">
            <w:rPr>
              <w:rFonts w:ascii="Times New Roman" w:hAnsi="Times New Roman" w:cs="Times New Roman"/>
              <w:noProof/>
              <w:sz w:val="20"/>
              <w:szCs w:val="20"/>
            </w:rPr>
            <w:lastRenderedPageBreak/>
            <w:t>Bazen, 2017)</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Younger employees are lower paid but older employees are highly paid </w:t>
      </w:r>
      <w:sdt>
        <w:sdtPr>
          <w:rPr>
            <w:rFonts w:ascii="Times New Roman" w:hAnsi="Times New Roman" w:cs="Times New Roman"/>
            <w:sz w:val="20"/>
            <w:szCs w:val="20"/>
          </w:rPr>
          <w:id w:val="-1938827089"/>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Hal10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(Hallberg &amp; Eklof, 2010)</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w:t>
      </w:r>
    </w:p>
    <w:p w:rsidR="009F07A9" w:rsidRPr="009F07A9" w:rsidRDefault="009F07A9" w:rsidP="009F07A9">
      <w:pPr>
        <w:spacing w:after="0" w:line="240" w:lineRule="auto"/>
        <w:jc w:val="both"/>
        <w:rPr>
          <w:rFonts w:ascii="Times New Roman" w:hAnsi="Times New Roman" w:cs="Times New Roman"/>
          <w:sz w:val="20"/>
          <w:szCs w:val="20"/>
        </w:rPr>
      </w:pPr>
    </w:p>
    <w:p w:rsidR="009F07A9" w:rsidRPr="009F07A9" w:rsidRDefault="009F07A9" w:rsidP="009F07A9">
      <w:pPr>
        <w:spacing w:after="0" w:line="240" w:lineRule="auto"/>
        <w:jc w:val="both"/>
        <w:rPr>
          <w:rFonts w:ascii="Times New Roman" w:hAnsi="Times New Roman" w:cs="Times New Roman"/>
          <w:sz w:val="20"/>
          <w:szCs w:val="20"/>
        </w:rPr>
      </w:pPr>
      <w:r w:rsidRPr="009F07A9">
        <w:rPr>
          <w:rFonts w:ascii="Times New Roman" w:hAnsi="Times New Roman" w:cs="Times New Roman"/>
          <w:b/>
          <w:bCs/>
          <w:sz w:val="20"/>
          <w:szCs w:val="20"/>
        </w:rPr>
        <w:t>Intentions of the Employer:</w:t>
      </w:r>
      <w:r w:rsidRPr="009F07A9">
        <w:rPr>
          <w:rFonts w:ascii="Times New Roman" w:hAnsi="Times New Roman" w:cs="Times New Roman"/>
          <w:sz w:val="20"/>
          <w:szCs w:val="20"/>
        </w:rPr>
        <w:t xml:space="preserve"> Depending on the organizational support theory, perceived organizational support could get re-energized older workers to continue their careers even after the formal retirement</w:t>
      </w:r>
      <w:sdt>
        <w:sdtPr>
          <w:rPr>
            <w:rFonts w:ascii="Times New Roman" w:hAnsi="Times New Roman" w:cs="Times New Roman"/>
            <w:sz w:val="20"/>
            <w:szCs w:val="20"/>
          </w:rPr>
          <w:id w:val="1877508874"/>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Che13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 xml:space="preserve"> (Cheung &amp; Wu, 2013)</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Corporate restructuring may impact either positively or negatively to older workers. But older workers greatly demand to re-employ themselves in small and medium scale enterprises (SME) than giant organizations </w:t>
      </w:r>
      <w:sdt>
        <w:sdtPr>
          <w:rPr>
            <w:rFonts w:ascii="Times New Roman" w:hAnsi="Times New Roman" w:cs="Times New Roman"/>
            <w:sz w:val="20"/>
            <w:szCs w:val="20"/>
          </w:rPr>
          <w:id w:val="-432509165"/>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Arr97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(Arrowsmith &amp; McGoldrick, 1997)</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Employers are willing to offer more benefits to older workers in order to retain and keep satisfied them </w:t>
      </w:r>
      <w:sdt>
        <w:sdtPr>
          <w:rPr>
            <w:rFonts w:ascii="Times New Roman" w:hAnsi="Times New Roman" w:cs="Times New Roman"/>
            <w:sz w:val="20"/>
            <w:szCs w:val="20"/>
          </w:rPr>
          <w:id w:val="1448045948"/>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Buy09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(Buyens, Dijk, Dewilde, &amp; De Vos, 2009)</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But there are some discriminatory practices adapted by employers in terms of selection, performance appraisal, career advancement, interpersonal interactions and training and development </w:t>
      </w:r>
      <w:sdt>
        <w:sdtPr>
          <w:rPr>
            <w:rFonts w:ascii="Times New Roman" w:hAnsi="Times New Roman" w:cs="Times New Roman"/>
            <w:sz w:val="20"/>
            <w:szCs w:val="20"/>
          </w:rPr>
          <w:id w:val="1530993314"/>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Cad17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(Cadiz, Pytlovany, &amp; Truxillo, 2017)</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w:t>
      </w:r>
    </w:p>
    <w:p w:rsidR="009F07A9" w:rsidRPr="009F07A9" w:rsidRDefault="009F07A9" w:rsidP="009F07A9">
      <w:pPr>
        <w:spacing w:after="0" w:line="240" w:lineRule="auto"/>
        <w:jc w:val="both"/>
        <w:rPr>
          <w:rFonts w:ascii="Times New Roman" w:hAnsi="Times New Roman" w:cs="Times New Roman"/>
          <w:sz w:val="20"/>
          <w:szCs w:val="20"/>
        </w:rPr>
      </w:pPr>
    </w:p>
    <w:p w:rsidR="009F07A9" w:rsidRDefault="009F07A9" w:rsidP="009F07A9">
      <w:pPr>
        <w:spacing w:after="0" w:line="240" w:lineRule="auto"/>
        <w:jc w:val="both"/>
        <w:rPr>
          <w:rFonts w:ascii="Times New Roman" w:hAnsi="Times New Roman" w:cs="Times New Roman"/>
          <w:sz w:val="20"/>
          <w:szCs w:val="20"/>
        </w:rPr>
      </w:pPr>
      <w:r w:rsidRPr="009F07A9">
        <w:rPr>
          <w:rFonts w:ascii="Times New Roman" w:hAnsi="Times New Roman" w:cs="Times New Roman"/>
          <w:b/>
          <w:bCs/>
          <w:sz w:val="20"/>
          <w:szCs w:val="20"/>
        </w:rPr>
        <w:t xml:space="preserve">Retirement Benefits: </w:t>
      </w:r>
      <w:r w:rsidRPr="009F07A9">
        <w:rPr>
          <w:rFonts w:ascii="Times New Roman" w:hAnsi="Times New Roman" w:cs="Times New Roman"/>
          <w:sz w:val="20"/>
          <w:szCs w:val="20"/>
        </w:rPr>
        <w:t xml:space="preserve">Accessing for social security schemes is a fundamental right </w:t>
      </w:r>
      <w:sdt>
        <w:sdtPr>
          <w:rPr>
            <w:rFonts w:ascii="Times New Roman" w:hAnsi="Times New Roman" w:cs="Times New Roman"/>
            <w:sz w:val="20"/>
            <w:szCs w:val="20"/>
          </w:rPr>
          <w:id w:val="1004703844"/>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Bek07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(Bekemans, 2007)</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Elderly population could make a great impact on rising social insurance and pension schemes </w:t>
      </w:r>
      <w:sdt>
        <w:sdtPr>
          <w:rPr>
            <w:rFonts w:ascii="Times New Roman" w:hAnsi="Times New Roman" w:cs="Times New Roman"/>
            <w:sz w:val="20"/>
            <w:szCs w:val="20"/>
          </w:rPr>
          <w:id w:val="73398910"/>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CITATION Aal14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(Aaltio, Salminen, &amp; Koponen, 2014)</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Some employees may retire earlier even before the formal retirement age due to the entitlement for receiving higher amounts of retirement benefits </w:t>
      </w:r>
      <w:sdt>
        <w:sdtPr>
          <w:rPr>
            <w:rFonts w:ascii="Times New Roman" w:hAnsi="Times New Roman" w:cs="Times New Roman"/>
            <w:sz w:val="20"/>
            <w:szCs w:val="20"/>
          </w:rPr>
          <w:id w:val="293883067"/>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Hal10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(Hallberg &amp; Eklof, 2010)</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In Sri Lanka, there are six legalized and approved retirement benefit schemes namely, Public Service Pension Scheme (PSPS), Employee Provident Fund (EPF), Employee Trust Fund (ETF), Farmers’ Pension and Social Security, Fishermen’s Pension and Social Security Benefit Scheme (FSHPS) and Self – Employed Persons Pension Scheme (SPPS).</w:t>
      </w:r>
    </w:p>
    <w:p w:rsidR="00C42BCB" w:rsidRPr="009F07A9" w:rsidRDefault="00C42BCB" w:rsidP="009F07A9">
      <w:pPr>
        <w:spacing w:after="0" w:line="240" w:lineRule="auto"/>
        <w:jc w:val="both"/>
        <w:rPr>
          <w:rFonts w:ascii="Times New Roman" w:hAnsi="Times New Roman" w:cs="Times New Roman"/>
          <w:sz w:val="20"/>
          <w:szCs w:val="20"/>
        </w:rPr>
      </w:pPr>
    </w:p>
    <w:p w:rsidR="009F07A9" w:rsidRPr="009F07A9" w:rsidRDefault="009F07A9" w:rsidP="009F07A9">
      <w:pPr>
        <w:spacing w:after="0" w:line="240" w:lineRule="auto"/>
        <w:jc w:val="both"/>
        <w:rPr>
          <w:rFonts w:ascii="Times New Roman" w:hAnsi="Times New Roman" w:cs="Times New Roman"/>
          <w:noProof/>
          <w:sz w:val="20"/>
          <w:szCs w:val="20"/>
        </w:rPr>
      </w:pPr>
      <w:r w:rsidRPr="009F07A9">
        <w:rPr>
          <w:rFonts w:ascii="Times New Roman" w:hAnsi="Times New Roman" w:cs="Times New Roman"/>
          <w:b/>
          <w:bCs/>
          <w:sz w:val="20"/>
          <w:szCs w:val="20"/>
        </w:rPr>
        <w:t xml:space="preserve">Declining Fertility Rates: </w:t>
      </w:r>
      <w:r w:rsidRPr="009F07A9">
        <w:rPr>
          <w:rFonts w:ascii="Times New Roman" w:hAnsi="Times New Roman" w:cs="Times New Roman"/>
          <w:sz w:val="20"/>
          <w:szCs w:val="20"/>
        </w:rPr>
        <w:t xml:space="preserve">Sri Lanka is experiencing in declining fertility rates </w:t>
      </w:r>
      <w:r w:rsidRPr="009F07A9">
        <w:rPr>
          <w:rFonts w:ascii="Times New Roman" w:hAnsi="Times New Roman" w:cs="Times New Roman"/>
          <w:sz w:val="20"/>
          <w:szCs w:val="20"/>
        </w:rPr>
        <w:lastRenderedPageBreak/>
        <w:t xml:space="preserve">which seriously cause to population ageing in the country (Abeykoon, 1996; De Silva, 1994; Siddisena, 2004; De Silva &amp; Fernando, 2013). Europe is experiencing the lowest fertility rate in the history by recording 1.58 children per couple </w:t>
      </w:r>
      <w:sdt>
        <w:sdtPr>
          <w:rPr>
            <w:rFonts w:ascii="Times New Roman" w:hAnsi="Times New Roman" w:cs="Times New Roman"/>
            <w:sz w:val="20"/>
            <w:szCs w:val="20"/>
          </w:rPr>
          <w:id w:val="1123039455"/>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Buy09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(Buyens, Dijk, Dewilde, &amp; De Vos, 2009)</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Declining fertility rates is perceived as a prolonged factor which leads for post – retirement employment because European Union and some other individual European countries decided to increase the birth rate within those countries decided to increase the birth rate as a long term initiative for the labour market unbalance (RAND, 2005 as cited </w:t>
      </w:r>
      <w:r w:rsidRPr="009F07A9">
        <w:rPr>
          <w:rFonts w:ascii="Times New Roman" w:hAnsi="Times New Roman" w:cs="Times New Roman"/>
          <w:noProof/>
          <w:sz w:val="20"/>
          <w:szCs w:val="20"/>
        </w:rPr>
        <w:t>Buyens, Dijk, Dewilde and De Vos, 2009).</w:t>
      </w:r>
    </w:p>
    <w:p w:rsidR="009F07A9" w:rsidRPr="009F07A9" w:rsidRDefault="009F07A9" w:rsidP="009F07A9">
      <w:pPr>
        <w:spacing w:after="0" w:line="240" w:lineRule="auto"/>
        <w:jc w:val="both"/>
        <w:rPr>
          <w:rFonts w:ascii="Times New Roman" w:hAnsi="Times New Roman" w:cs="Times New Roman"/>
          <w:noProof/>
          <w:sz w:val="20"/>
          <w:szCs w:val="20"/>
        </w:rPr>
      </w:pPr>
    </w:p>
    <w:p w:rsidR="009F07A9" w:rsidRPr="009F07A9" w:rsidRDefault="009F07A9" w:rsidP="009F07A9">
      <w:pPr>
        <w:spacing w:after="0" w:line="240" w:lineRule="auto"/>
        <w:jc w:val="both"/>
        <w:rPr>
          <w:rFonts w:ascii="Times New Roman" w:hAnsi="Times New Roman" w:cs="Times New Roman"/>
          <w:noProof/>
          <w:sz w:val="20"/>
          <w:szCs w:val="20"/>
        </w:rPr>
      </w:pPr>
      <w:r w:rsidRPr="009F07A9">
        <w:rPr>
          <w:rFonts w:ascii="Times New Roman" w:hAnsi="Times New Roman" w:cs="Times New Roman"/>
          <w:b/>
          <w:bCs/>
          <w:noProof/>
          <w:sz w:val="20"/>
          <w:szCs w:val="20"/>
        </w:rPr>
        <w:t xml:space="preserve">Increased Life Expectancy: </w:t>
      </w:r>
      <w:r w:rsidRPr="009F07A9">
        <w:rPr>
          <w:rFonts w:ascii="Times New Roman" w:hAnsi="Times New Roman" w:cs="Times New Roman"/>
          <w:noProof/>
          <w:sz w:val="20"/>
          <w:szCs w:val="20"/>
        </w:rPr>
        <w:t>Sri Lanka is experiencing the increase of life expenctancy by decreasing the Crude Mortality Rate correspondingly the decline of fertility rates. From 1946 to 1998 expectation of life – span at birth of Sri Lankan males has risen from 43.3 years to 71.2. For female Sri Lankans, it has increased from 41.6 years to 75.8 years during the same period. Crude birth rate in Sri Lanka was 16.9 (live births to 1000 people) in 2014. But it was 18.8 in 2008. Parallely, crude death rate was 6.2 deaths to 1000 poplation in Sri Lanka in 2014 but it was just 5.9 in 2008.</w:t>
      </w:r>
    </w:p>
    <w:p w:rsidR="009F07A9" w:rsidRPr="009F07A9" w:rsidRDefault="009F07A9" w:rsidP="009F07A9">
      <w:pPr>
        <w:spacing w:after="0" w:line="240" w:lineRule="auto"/>
        <w:jc w:val="both"/>
        <w:rPr>
          <w:rFonts w:ascii="Times New Roman" w:hAnsi="Times New Roman" w:cs="Times New Roman"/>
          <w:noProof/>
          <w:sz w:val="20"/>
          <w:szCs w:val="20"/>
        </w:rPr>
      </w:pPr>
    </w:p>
    <w:p w:rsidR="009F07A9" w:rsidRPr="009F07A9" w:rsidRDefault="009F07A9" w:rsidP="009F07A9">
      <w:pPr>
        <w:spacing w:after="0" w:line="240" w:lineRule="auto"/>
        <w:jc w:val="both"/>
        <w:rPr>
          <w:rFonts w:ascii="Times New Roman" w:hAnsi="Times New Roman" w:cs="Times New Roman"/>
          <w:noProof/>
          <w:sz w:val="20"/>
          <w:szCs w:val="20"/>
        </w:rPr>
      </w:pPr>
      <w:r w:rsidRPr="009F07A9">
        <w:rPr>
          <w:rFonts w:ascii="Times New Roman" w:hAnsi="Times New Roman" w:cs="Times New Roman"/>
          <w:b/>
          <w:bCs/>
          <w:noProof/>
          <w:sz w:val="20"/>
          <w:szCs w:val="20"/>
        </w:rPr>
        <w:t xml:space="preserve">Job Security: </w:t>
      </w:r>
      <w:r w:rsidRPr="009F07A9">
        <w:rPr>
          <w:rFonts w:ascii="Times New Roman" w:hAnsi="Times New Roman" w:cs="Times New Roman"/>
          <w:noProof/>
          <w:sz w:val="20"/>
          <w:szCs w:val="20"/>
        </w:rPr>
        <w:t>It was depicted that job security of older workers depends on the clasg of expectations between older employee and the employer</w:t>
      </w:r>
      <w:r w:rsidRPr="009F07A9">
        <w:rPr>
          <w:rFonts w:ascii="Times New Roman" w:hAnsi="Times New Roman" w:cs="Times New Roman"/>
          <w:b/>
          <w:bCs/>
          <w:noProof/>
          <w:sz w:val="20"/>
          <w:szCs w:val="20"/>
        </w:rPr>
        <w:t xml:space="preserve"> </w:t>
      </w:r>
      <w:sdt>
        <w:sdtPr>
          <w:rPr>
            <w:rFonts w:ascii="Times New Roman" w:hAnsi="Times New Roman" w:cs="Times New Roman"/>
            <w:b/>
            <w:bCs/>
            <w:noProof/>
            <w:sz w:val="20"/>
            <w:szCs w:val="20"/>
          </w:rPr>
          <w:id w:val="759722942"/>
          <w:citation/>
        </w:sdtPr>
        <w:sdtEndPr/>
        <w:sdtContent>
          <w:r w:rsidRPr="009F07A9">
            <w:rPr>
              <w:rFonts w:ascii="Times New Roman" w:hAnsi="Times New Roman" w:cs="Times New Roman"/>
              <w:b/>
              <w:bCs/>
              <w:noProof/>
              <w:sz w:val="20"/>
              <w:szCs w:val="20"/>
            </w:rPr>
            <w:fldChar w:fldCharType="begin"/>
          </w:r>
          <w:r w:rsidRPr="009F07A9">
            <w:rPr>
              <w:rFonts w:ascii="Times New Roman" w:hAnsi="Times New Roman" w:cs="Times New Roman"/>
              <w:b/>
              <w:bCs/>
              <w:noProof/>
              <w:sz w:val="20"/>
              <w:szCs w:val="20"/>
            </w:rPr>
            <w:instrText xml:space="preserve"> CITATION Pat03 \l 1033 </w:instrText>
          </w:r>
          <w:r w:rsidRPr="009F07A9">
            <w:rPr>
              <w:rFonts w:ascii="Times New Roman" w:hAnsi="Times New Roman" w:cs="Times New Roman"/>
              <w:b/>
              <w:bCs/>
              <w:noProof/>
              <w:sz w:val="20"/>
              <w:szCs w:val="20"/>
            </w:rPr>
            <w:fldChar w:fldCharType="separate"/>
          </w:r>
          <w:r w:rsidRPr="009F07A9">
            <w:rPr>
              <w:rFonts w:ascii="Times New Roman" w:hAnsi="Times New Roman" w:cs="Times New Roman"/>
              <w:noProof/>
              <w:sz w:val="20"/>
              <w:szCs w:val="20"/>
            </w:rPr>
            <w:t>(Patrickson &amp; Ranzijn, 2003)</w:t>
          </w:r>
          <w:r w:rsidRPr="009F07A9">
            <w:rPr>
              <w:rFonts w:ascii="Times New Roman" w:hAnsi="Times New Roman" w:cs="Times New Roman"/>
              <w:b/>
              <w:bCs/>
              <w:noProof/>
              <w:sz w:val="20"/>
              <w:szCs w:val="20"/>
            </w:rPr>
            <w:fldChar w:fldCharType="end"/>
          </w:r>
        </w:sdtContent>
      </w:sdt>
      <w:r w:rsidRPr="009F07A9">
        <w:rPr>
          <w:rFonts w:ascii="Times New Roman" w:hAnsi="Times New Roman" w:cs="Times New Roman"/>
          <w:b/>
          <w:bCs/>
          <w:noProof/>
          <w:sz w:val="20"/>
          <w:szCs w:val="20"/>
        </w:rPr>
        <w:t xml:space="preserve">. </w:t>
      </w:r>
      <w:r w:rsidRPr="009F07A9">
        <w:rPr>
          <w:rFonts w:ascii="Times New Roman" w:hAnsi="Times New Roman" w:cs="Times New Roman"/>
          <w:noProof/>
          <w:sz w:val="20"/>
          <w:szCs w:val="20"/>
        </w:rPr>
        <w:t xml:space="preserve">There are several rifidities in the job market which disable retired employees to reemploy themselves and making vulnerable their future job security </w:t>
      </w:r>
      <w:sdt>
        <w:sdtPr>
          <w:rPr>
            <w:rFonts w:ascii="Times New Roman" w:hAnsi="Times New Roman" w:cs="Times New Roman"/>
            <w:noProof/>
            <w:sz w:val="20"/>
            <w:szCs w:val="20"/>
          </w:rPr>
          <w:id w:val="1587887209"/>
          <w:citation/>
        </w:sdtPr>
        <w:sdtEndPr/>
        <w:sdtContent>
          <w:r w:rsidRPr="009F07A9">
            <w:rPr>
              <w:rFonts w:ascii="Times New Roman" w:hAnsi="Times New Roman" w:cs="Times New Roman"/>
              <w:noProof/>
              <w:sz w:val="20"/>
              <w:szCs w:val="20"/>
            </w:rPr>
            <w:fldChar w:fldCharType="begin"/>
          </w:r>
          <w:r w:rsidRPr="009F07A9">
            <w:rPr>
              <w:rFonts w:ascii="Times New Roman" w:hAnsi="Times New Roman" w:cs="Times New Roman"/>
              <w:noProof/>
              <w:sz w:val="20"/>
              <w:szCs w:val="20"/>
            </w:rPr>
            <w:instrText xml:space="preserve"> CITATION Hur93 \l 1033 </w:instrText>
          </w:r>
          <w:r w:rsidRPr="009F07A9">
            <w:rPr>
              <w:rFonts w:ascii="Times New Roman" w:hAnsi="Times New Roman" w:cs="Times New Roman"/>
              <w:noProof/>
              <w:sz w:val="20"/>
              <w:szCs w:val="20"/>
            </w:rPr>
            <w:fldChar w:fldCharType="separate"/>
          </w:r>
          <w:r w:rsidRPr="009F07A9">
            <w:rPr>
              <w:rFonts w:ascii="Times New Roman" w:hAnsi="Times New Roman" w:cs="Times New Roman"/>
              <w:noProof/>
              <w:sz w:val="20"/>
              <w:szCs w:val="20"/>
            </w:rPr>
            <w:t>(Hurd, 1993)</w:t>
          </w:r>
          <w:r w:rsidRPr="009F07A9">
            <w:rPr>
              <w:rFonts w:ascii="Times New Roman" w:hAnsi="Times New Roman" w:cs="Times New Roman"/>
              <w:noProof/>
              <w:sz w:val="20"/>
              <w:szCs w:val="20"/>
            </w:rPr>
            <w:fldChar w:fldCharType="end"/>
          </w:r>
        </w:sdtContent>
      </w:sdt>
      <w:r w:rsidRPr="009F07A9">
        <w:rPr>
          <w:rFonts w:ascii="Times New Roman" w:hAnsi="Times New Roman" w:cs="Times New Roman"/>
          <w:noProof/>
          <w:sz w:val="20"/>
          <w:szCs w:val="20"/>
        </w:rPr>
        <w:t>.</w:t>
      </w:r>
      <w:r w:rsidRPr="009F07A9">
        <w:rPr>
          <w:rFonts w:ascii="Times New Roman" w:hAnsi="Times New Roman" w:cs="Times New Roman"/>
          <w:b/>
          <w:bCs/>
          <w:noProof/>
          <w:sz w:val="20"/>
          <w:szCs w:val="20"/>
        </w:rPr>
        <w:t xml:space="preserve">  </w:t>
      </w:r>
      <w:r w:rsidRPr="009F07A9">
        <w:rPr>
          <w:rFonts w:ascii="Times New Roman" w:hAnsi="Times New Roman" w:cs="Times New Roman"/>
          <w:noProof/>
          <w:sz w:val="20"/>
          <w:szCs w:val="20"/>
        </w:rPr>
        <w:t xml:space="preserve">Job security is a matter which largely depends on the excellent perofrmance that employee could show </w:t>
      </w:r>
      <w:sdt>
        <w:sdtPr>
          <w:rPr>
            <w:rFonts w:ascii="Times New Roman" w:hAnsi="Times New Roman" w:cs="Times New Roman"/>
            <w:noProof/>
            <w:sz w:val="20"/>
            <w:szCs w:val="20"/>
          </w:rPr>
          <w:id w:val="-1632550890"/>
          <w:citation/>
        </w:sdtPr>
        <w:sdtEndPr/>
        <w:sdtContent>
          <w:r w:rsidRPr="009F07A9">
            <w:rPr>
              <w:rFonts w:ascii="Times New Roman" w:hAnsi="Times New Roman" w:cs="Times New Roman"/>
              <w:noProof/>
              <w:sz w:val="20"/>
              <w:szCs w:val="20"/>
            </w:rPr>
            <w:fldChar w:fldCharType="begin"/>
          </w:r>
          <w:r w:rsidRPr="009F07A9">
            <w:rPr>
              <w:rFonts w:ascii="Times New Roman" w:hAnsi="Times New Roman" w:cs="Times New Roman"/>
              <w:noProof/>
              <w:sz w:val="20"/>
              <w:szCs w:val="20"/>
            </w:rPr>
            <w:instrText xml:space="preserve"> CITATION Cad17 \l 1033 </w:instrText>
          </w:r>
          <w:r w:rsidRPr="009F07A9">
            <w:rPr>
              <w:rFonts w:ascii="Times New Roman" w:hAnsi="Times New Roman" w:cs="Times New Roman"/>
              <w:noProof/>
              <w:sz w:val="20"/>
              <w:szCs w:val="20"/>
            </w:rPr>
            <w:fldChar w:fldCharType="separate"/>
          </w:r>
          <w:r w:rsidRPr="009F07A9">
            <w:rPr>
              <w:rFonts w:ascii="Times New Roman" w:hAnsi="Times New Roman" w:cs="Times New Roman"/>
              <w:noProof/>
              <w:sz w:val="20"/>
              <w:szCs w:val="20"/>
            </w:rPr>
            <w:t>(Cadiz, Pytlovany, &amp; Truxillo, 2017)</w:t>
          </w:r>
          <w:r w:rsidRPr="009F07A9">
            <w:rPr>
              <w:rFonts w:ascii="Times New Roman" w:hAnsi="Times New Roman" w:cs="Times New Roman"/>
              <w:noProof/>
              <w:sz w:val="20"/>
              <w:szCs w:val="20"/>
            </w:rPr>
            <w:fldChar w:fldCharType="end"/>
          </w:r>
        </w:sdtContent>
      </w:sdt>
      <w:r w:rsidRPr="009F07A9">
        <w:rPr>
          <w:rFonts w:ascii="Times New Roman" w:hAnsi="Times New Roman" w:cs="Times New Roman"/>
          <w:noProof/>
          <w:sz w:val="20"/>
          <w:szCs w:val="20"/>
        </w:rPr>
        <w:t xml:space="preserve">. But job performance is not necessarily reduce with age </w:t>
      </w:r>
      <w:sdt>
        <w:sdtPr>
          <w:rPr>
            <w:rFonts w:ascii="Times New Roman" w:hAnsi="Times New Roman" w:cs="Times New Roman"/>
            <w:noProof/>
            <w:sz w:val="20"/>
            <w:szCs w:val="20"/>
          </w:rPr>
          <w:id w:val="409285217"/>
          <w:citation/>
        </w:sdtPr>
        <w:sdtEndPr/>
        <w:sdtContent>
          <w:r w:rsidRPr="009F07A9">
            <w:rPr>
              <w:rFonts w:ascii="Times New Roman" w:hAnsi="Times New Roman" w:cs="Times New Roman"/>
              <w:noProof/>
              <w:sz w:val="20"/>
              <w:szCs w:val="20"/>
            </w:rPr>
            <w:fldChar w:fldCharType="begin"/>
          </w:r>
          <w:r w:rsidRPr="009F07A9">
            <w:rPr>
              <w:rFonts w:ascii="Times New Roman" w:hAnsi="Times New Roman" w:cs="Times New Roman"/>
              <w:noProof/>
              <w:sz w:val="20"/>
              <w:szCs w:val="20"/>
            </w:rPr>
            <w:instrText xml:space="preserve">CITATION Bro11 \l 1033 </w:instrText>
          </w:r>
          <w:r w:rsidRPr="009F07A9">
            <w:rPr>
              <w:rFonts w:ascii="Times New Roman" w:hAnsi="Times New Roman" w:cs="Times New Roman"/>
              <w:noProof/>
              <w:sz w:val="20"/>
              <w:szCs w:val="20"/>
            </w:rPr>
            <w:fldChar w:fldCharType="separate"/>
          </w:r>
          <w:r w:rsidRPr="009F07A9">
            <w:rPr>
              <w:rFonts w:ascii="Times New Roman" w:hAnsi="Times New Roman" w:cs="Times New Roman"/>
              <w:noProof/>
              <w:sz w:val="20"/>
              <w:szCs w:val="20"/>
            </w:rPr>
            <w:t>(Brough, Johnson, Drummond, Pennisi, &amp; Timms, 2011)</w:t>
          </w:r>
          <w:r w:rsidRPr="009F07A9">
            <w:rPr>
              <w:rFonts w:ascii="Times New Roman" w:hAnsi="Times New Roman" w:cs="Times New Roman"/>
              <w:noProof/>
              <w:sz w:val="20"/>
              <w:szCs w:val="20"/>
            </w:rPr>
            <w:fldChar w:fldCharType="end"/>
          </w:r>
        </w:sdtContent>
      </w:sdt>
      <w:r w:rsidRPr="009F07A9">
        <w:rPr>
          <w:rFonts w:ascii="Times New Roman" w:hAnsi="Times New Roman" w:cs="Times New Roman"/>
          <w:noProof/>
          <w:sz w:val="20"/>
          <w:szCs w:val="20"/>
        </w:rPr>
        <w:t xml:space="preserve">. With the interlink to the Spot </w:t>
      </w:r>
      <w:r w:rsidRPr="009F07A9">
        <w:rPr>
          <w:rFonts w:ascii="Times New Roman" w:hAnsi="Times New Roman" w:cs="Times New Roman"/>
          <w:noProof/>
          <w:sz w:val="20"/>
          <w:szCs w:val="20"/>
        </w:rPr>
        <w:lastRenderedPageBreak/>
        <w:t xml:space="preserve">Market Theory, fiems pay to its workers in a perfectly competitive labour market to </w:t>
      </w:r>
      <w:r w:rsidR="00B85A48">
        <w:rPr>
          <w:rFonts w:ascii="Times New Roman" w:hAnsi="Times New Roman" w:cs="Times New Roman"/>
          <w:noProof/>
          <w:sz w:val="20"/>
          <w:szCs w:val="20"/>
        </w:rPr>
        <w:t xml:space="preserve"> </w:t>
      </w:r>
      <w:r w:rsidRPr="009F07A9">
        <w:rPr>
          <w:rFonts w:ascii="Times New Roman" w:hAnsi="Times New Roman" w:cs="Times New Roman"/>
          <w:noProof/>
          <w:sz w:val="20"/>
          <w:szCs w:val="20"/>
        </w:rPr>
        <w:t xml:space="preserve">their marginal product without concerning the age </w:t>
      </w:r>
      <w:sdt>
        <w:sdtPr>
          <w:rPr>
            <w:rFonts w:ascii="Times New Roman" w:hAnsi="Times New Roman" w:cs="Times New Roman"/>
            <w:noProof/>
            <w:sz w:val="20"/>
            <w:szCs w:val="20"/>
          </w:rPr>
          <w:id w:val="-2118281577"/>
          <w:citation/>
        </w:sdtPr>
        <w:sdtEndPr/>
        <w:sdtContent>
          <w:r w:rsidRPr="009F07A9">
            <w:rPr>
              <w:rFonts w:ascii="Times New Roman" w:hAnsi="Times New Roman" w:cs="Times New Roman"/>
              <w:noProof/>
              <w:sz w:val="20"/>
              <w:szCs w:val="20"/>
            </w:rPr>
            <w:fldChar w:fldCharType="begin"/>
          </w:r>
          <w:r w:rsidRPr="009F07A9">
            <w:rPr>
              <w:rFonts w:ascii="Times New Roman" w:hAnsi="Times New Roman" w:cs="Times New Roman"/>
              <w:noProof/>
              <w:sz w:val="20"/>
              <w:szCs w:val="20"/>
            </w:rPr>
            <w:instrText xml:space="preserve"> CITATION Con12 \l 1033 </w:instrText>
          </w:r>
          <w:r w:rsidRPr="009F07A9">
            <w:rPr>
              <w:rFonts w:ascii="Times New Roman" w:hAnsi="Times New Roman" w:cs="Times New Roman"/>
              <w:noProof/>
              <w:sz w:val="20"/>
              <w:szCs w:val="20"/>
            </w:rPr>
            <w:fldChar w:fldCharType="separate"/>
          </w:r>
          <w:r w:rsidRPr="009F07A9">
            <w:rPr>
              <w:rFonts w:ascii="Times New Roman" w:hAnsi="Times New Roman" w:cs="Times New Roman"/>
              <w:noProof/>
              <w:sz w:val="20"/>
              <w:szCs w:val="20"/>
            </w:rPr>
            <w:t>(Conen, Dalen, &amp; Henkens, 2012)</w:t>
          </w:r>
          <w:r w:rsidRPr="009F07A9">
            <w:rPr>
              <w:rFonts w:ascii="Times New Roman" w:hAnsi="Times New Roman" w:cs="Times New Roman"/>
              <w:noProof/>
              <w:sz w:val="20"/>
              <w:szCs w:val="20"/>
            </w:rPr>
            <w:fldChar w:fldCharType="end"/>
          </w:r>
        </w:sdtContent>
      </w:sdt>
      <w:r w:rsidRPr="009F07A9">
        <w:rPr>
          <w:rFonts w:ascii="Times New Roman" w:hAnsi="Times New Roman" w:cs="Times New Roman"/>
          <w:noProof/>
          <w:sz w:val="20"/>
          <w:szCs w:val="20"/>
        </w:rPr>
        <w:t>.</w:t>
      </w:r>
    </w:p>
    <w:p w:rsidR="00C42BCB" w:rsidRDefault="00C42BCB" w:rsidP="009F07A9">
      <w:pPr>
        <w:spacing w:after="0" w:line="240" w:lineRule="auto"/>
        <w:jc w:val="both"/>
        <w:rPr>
          <w:rFonts w:ascii="Times New Roman" w:hAnsi="Times New Roman" w:cs="Times New Roman"/>
          <w:b/>
          <w:bCs/>
          <w:noProof/>
          <w:sz w:val="20"/>
          <w:szCs w:val="20"/>
        </w:rPr>
      </w:pPr>
    </w:p>
    <w:p w:rsidR="009F07A9" w:rsidRDefault="009F07A9" w:rsidP="009F07A9">
      <w:pPr>
        <w:spacing w:after="0" w:line="240" w:lineRule="auto"/>
        <w:jc w:val="both"/>
        <w:rPr>
          <w:rFonts w:ascii="Times New Roman" w:hAnsi="Times New Roman" w:cs="Times New Roman"/>
          <w:noProof/>
          <w:sz w:val="20"/>
          <w:szCs w:val="20"/>
        </w:rPr>
      </w:pPr>
      <w:r w:rsidRPr="009F07A9">
        <w:rPr>
          <w:rFonts w:ascii="Times New Roman" w:hAnsi="Times New Roman" w:cs="Times New Roman"/>
          <w:b/>
          <w:bCs/>
          <w:noProof/>
          <w:sz w:val="20"/>
          <w:szCs w:val="20"/>
        </w:rPr>
        <w:t xml:space="preserve">Family Accomplishments: </w:t>
      </w:r>
      <w:r w:rsidRPr="009F07A9">
        <w:rPr>
          <w:rFonts w:ascii="Times New Roman" w:hAnsi="Times New Roman" w:cs="Times New Roman"/>
          <w:noProof/>
          <w:sz w:val="20"/>
          <w:szCs w:val="20"/>
        </w:rPr>
        <w:t xml:space="preserve">Elderly population may move to another job even after the retirement because the family headdhips they bear. It is a cultural value that being elderly with their children and grand children </w:t>
      </w:r>
      <w:sdt>
        <w:sdtPr>
          <w:rPr>
            <w:rFonts w:ascii="Times New Roman" w:hAnsi="Times New Roman" w:cs="Times New Roman"/>
            <w:noProof/>
            <w:sz w:val="20"/>
            <w:szCs w:val="20"/>
          </w:rPr>
          <w:id w:val="140394991"/>
          <w:citation/>
        </w:sdtPr>
        <w:sdtEndPr/>
        <w:sdtContent>
          <w:r w:rsidRPr="009F07A9">
            <w:rPr>
              <w:rFonts w:ascii="Times New Roman" w:hAnsi="Times New Roman" w:cs="Times New Roman"/>
              <w:noProof/>
              <w:sz w:val="20"/>
              <w:szCs w:val="20"/>
            </w:rPr>
            <w:fldChar w:fldCharType="begin"/>
          </w:r>
          <w:r w:rsidRPr="009F07A9">
            <w:rPr>
              <w:rFonts w:ascii="Times New Roman" w:hAnsi="Times New Roman" w:cs="Times New Roman"/>
              <w:noProof/>
              <w:sz w:val="20"/>
              <w:szCs w:val="20"/>
            </w:rPr>
            <w:instrText xml:space="preserve"> CITATION DeS13 \l 1033 </w:instrText>
          </w:r>
          <w:r w:rsidRPr="009F07A9">
            <w:rPr>
              <w:rFonts w:ascii="Times New Roman" w:hAnsi="Times New Roman" w:cs="Times New Roman"/>
              <w:noProof/>
              <w:sz w:val="20"/>
              <w:szCs w:val="20"/>
            </w:rPr>
            <w:fldChar w:fldCharType="separate"/>
          </w:r>
          <w:r w:rsidRPr="009F07A9">
            <w:rPr>
              <w:rFonts w:ascii="Times New Roman" w:hAnsi="Times New Roman" w:cs="Times New Roman"/>
              <w:noProof/>
              <w:sz w:val="20"/>
              <w:szCs w:val="20"/>
            </w:rPr>
            <w:t>(De Silva &amp; Fernando, 2013)</w:t>
          </w:r>
          <w:r w:rsidRPr="009F07A9">
            <w:rPr>
              <w:rFonts w:ascii="Times New Roman" w:hAnsi="Times New Roman" w:cs="Times New Roman"/>
              <w:noProof/>
              <w:sz w:val="20"/>
              <w:szCs w:val="20"/>
            </w:rPr>
            <w:fldChar w:fldCharType="end"/>
          </w:r>
        </w:sdtContent>
      </w:sdt>
      <w:r w:rsidRPr="009F07A9">
        <w:rPr>
          <w:rFonts w:ascii="Times New Roman" w:hAnsi="Times New Roman" w:cs="Times New Roman"/>
          <w:noProof/>
          <w:sz w:val="20"/>
          <w:szCs w:val="20"/>
        </w:rPr>
        <w:t xml:space="preserve">. Extensively, elderly males provide material support to their children whereas elderly support them in tangible aspects (Perera, 1999). Older people need to make some changes in their living environments for either adapting to the current recidencies or relocating to cope with a more supportive environment due to decline their capacities </w:t>
      </w:r>
      <w:sdt>
        <w:sdtPr>
          <w:rPr>
            <w:rFonts w:ascii="Times New Roman" w:hAnsi="Times New Roman" w:cs="Times New Roman"/>
            <w:noProof/>
            <w:sz w:val="20"/>
            <w:szCs w:val="20"/>
          </w:rPr>
          <w:id w:val="793794399"/>
          <w:citation/>
        </w:sdtPr>
        <w:sdtEndPr/>
        <w:sdtContent>
          <w:r w:rsidRPr="009F07A9">
            <w:rPr>
              <w:rFonts w:ascii="Times New Roman" w:hAnsi="Times New Roman" w:cs="Times New Roman"/>
              <w:noProof/>
              <w:sz w:val="20"/>
              <w:szCs w:val="20"/>
            </w:rPr>
            <w:fldChar w:fldCharType="begin"/>
          </w:r>
          <w:r w:rsidRPr="009F07A9">
            <w:rPr>
              <w:rFonts w:ascii="Times New Roman" w:hAnsi="Times New Roman" w:cs="Times New Roman"/>
              <w:noProof/>
              <w:sz w:val="20"/>
              <w:szCs w:val="20"/>
            </w:rPr>
            <w:instrText xml:space="preserve"> CITATION Wor15 \l 1033 </w:instrText>
          </w:r>
          <w:r w:rsidRPr="009F07A9">
            <w:rPr>
              <w:rFonts w:ascii="Times New Roman" w:hAnsi="Times New Roman" w:cs="Times New Roman"/>
              <w:noProof/>
              <w:sz w:val="20"/>
              <w:szCs w:val="20"/>
            </w:rPr>
            <w:fldChar w:fldCharType="separate"/>
          </w:r>
          <w:r w:rsidRPr="009F07A9">
            <w:rPr>
              <w:rFonts w:ascii="Times New Roman" w:hAnsi="Times New Roman" w:cs="Times New Roman"/>
              <w:noProof/>
              <w:sz w:val="20"/>
              <w:szCs w:val="20"/>
            </w:rPr>
            <w:t>(World Health Organization, 2015)</w:t>
          </w:r>
          <w:r w:rsidRPr="009F07A9">
            <w:rPr>
              <w:rFonts w:ascii="Times New Roman" w:hAnsi="Times New Roman" w:cs="Times New Roman"/>
              <w:noProof/>
              <w:sz w:val="20"/>
              <w:szCs w:val="20"/>
            </w:rPr>
            <w:fldChar w:fldCharType="end"/>
          </w:r>
        </w:sdtContent>
      </w:sdt>
      <w:r w:rsidRPr="009F07A9">
        <w:rPr>
          <w:rFonts w:ascii="Times New Roman" w:hAnsi="Times New Roman" w:cs="Times New Roman"/>
          <w:noProof/>
          <w:sz w:val="20"/>
          <w:szCs w:val="20"/>
        </w:rPr>
        <w:t>.</w:t>
      </w:r>
    </w:p>
    <w:p w:rsidR="009F07A9" w:rsidRPr="00677940" w:rsidRDefault="009F07A9" w:rsidP="009F07A9">
      <w:pPr>
        <w:spacing w:after="0" w:line="240" w:lineRule="auto"/>
        <w:jc w:val="both"/>
        <w:rPr>
          <w:rFonts w:ascii="Times New Roman" w:hAnsi="Times New Roman" w:cs="Times New Roman"/>
          <w:noProof/>
          <w:sz w:val="18"/>
          <w:szCs w:val="20"/>
        </w:rPr>
      </w:pPr>
    </w:p>
    <w:p w:rsidR="009F07A9" w:rsidRDefault="009F07A9" w:rsidP="009F07A9">
      <w:pPr>
        <w:spacing w:after="0" w:line="240" w:lineRule="auto"/>
        <w:jc w:val="both"/>
        <w:rPr>
          <w:rFonts w:ascii="Times New Roman" w:hAnsi="Times New Roman" w:cs="Times New Roman"/>
          <w:b/>
          <w:noProof/>
          <w:sz w:val="20"/>
          <w:szCs w:val="20"/>
        </w:rPr>
      </w:pPr>
      <w:r w:rsidRPr="009F07A9">
        <w:rPr>
          <w:rFonts w:ascii="Times New Roman" w:hAnsi="Times New Roman" w:cs="Times New Roman"/>
          <w:b/>
          <w:noProof/>
          <w:sz w:val="20"/>
          <w:szCs w:val="20"/>
        </w:rPr>
        <w:t>Theoritical Framework</w:t>
      </w:r>
    </w:p>
    <w:p w:rsidR="009F07A9" w:rsidRPr="00677940" w:rsidRDefault="009F07A9" w:rsidP="009F07A9">
      <w:pPr>
        <w:spacing w:after="0" w:line="240" w:lineRule="auto"/>
        <w:jc w:val="both"/>
        <w:rPr>
          <w:rFonts w:ascii="Times New Roman" w:hAnsi="Times New Roman" w:cs="Times New Roman"/>
          <w:b/>
          <w:noProof/>
          <w:sz w:val="14"/>
          <w:szCs w:val="20"/>
        </w:rPr>
      </w:pPr>
    </w:p>
    <w:p w:rsidR="00C42BCB" w:rsidRDefault="00C42BCB" w:rsidP="009F07A9">
      <w:pPr>
        <w:spacing w:after="0" w:line="240" w:lineRule="auto"/>
        <w:jc w:val="both"/>
        <w:rPr>
          <w:rFonts w:ascii="Times New Roman" w:hAnsi="Times New Roman" w:cs="Times New Roman"/>
          <w:sz w:val="20"/>
          <w:szCs w:val="20"/>
        </w:rPr>
      </w:pPr>
      <w:r>
        <w:rPr>
          <w:noProof/>
        </w:rPr>
        <mc:AlternateContent>
          <mc:Choice Requires="wpg">
            <w:drawing>
              <wp:anchor distT="0" distB="0" distL="114300" distR="114300" simplePos="0" relativeHeight="251659264" behindDoc="0" locked="0" layoutInCell="1" allowOverlap="1" wp14:anchorId="5FFBB679" wp14:editId="56943585">
                <wp:simplePos x="0" y="0"/>
                <wp:positionH relativeFrom="margin">
                  <wp:align>left</wp:align>
                </wp:positionH>
                <wp:positionV relativeFrom="paragraph">
                  <wp:posOffset>593903</wp:posOffset>
                </wp:positionV>
                <wp:extent cx="5081905" cy="3320415"/>
                <wp:effectExtent l="0" t="0" r="4445" b="0"/>
                <wp:wrapTopAndBottom/>
                <wp:docPr id="4" name="Group 4"/>
                <wp:cNvGraphicFramePr/>
                <a:graphic xmlns:a="http://schemas.openxmlformats.org/drawingml/2006/main">
                  <a:graphicData uri="http://schemas.microsoft.com/office/word/2010/wordprocessingGroup">
                    <wpg:wgp>
                      <wpg:cNvGrpSpPr/>
                      <wpg:grpSpPr>
                        <a:xfrm>
                          <a:off x="0" y="0"/>
                          <a:ext cx="5081905" cy="3320415"/>
                          <a:chOff x="0" y="0"/>
                          <a:chExt cx="5082363" cy="3320829"/>
                        </a:xfrm>
                      </wpg:grpSpPr>
                      <wpg:grpSp>
                        <wpg:cNvPr id="50" name="Group 50"/>
                        <wpg:cNvGrpSpPr/>
                        <wpg:grpSpPr>
                          <a:xfrm>
                            <a:off x="0" y="0"/>
                            <a:ext cx="4944140" cy="2892056"/>
                            <a:chOff x="0" y="10633"/>
                            <a:chExt cx="5252056" cy="3795217"/>
                          </a:xfrm>
                        </wpg:grpSpPr>
                        <wpg:grpSp>
                          <wpg:cNvPr id="51" name="Group 51"/>
                          <wpg:cNvGrpSpPr/>
                          <wpg:grpSpPr>
                            <a:xfrm>
                              <a:off x="0" y="10633"/>
                              <a:ext cx="5252056" cy="3795217"/>
                              <a:chOff x="0" y="10633"/>
                              <a:chExt cx="5252056" cy="3795217"/>
                            </a:xfrm>
                          </wpg:grpSpPr>
                          <wps:wsp>
                            <wps:cNvPr id="52" name="Oval 52"/>
                            <wps:cNvSpPr/>
                            <wps:spPr>
                              <a:xfrm>
                                <a:off x="1648047" y="1392865"/>
                                <a:ext cx="1966595" cy="892810"/>
                              </a:xfrm>
                              <a:prstGeom prst="ellipse">
                                <a:avLst/>
                              </a:prstGeom>
                            </wps:spPr>
                            <wps:style>
                              <a:lnRef idx="1">
                                <a:schemeClr val="dk1"/>
                              </a:lnRef>
                              <a:fillRef idx="2">
                                <a:schemeClr val="dk1"/>
                              </a:fillRef>
                              <a:effectRef idx="1">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20"/>
                                      <w:szCs w:val="20"/>
                                    </w:rPr>
                                  </w:pPr>
                                  <w:r w:rsidRPr="00B85A48">
                                    <w:rPr>
                                      <w:rFonts w:ascii="Times New Roman" w:hAnsi="Times New Roman" w:cs="Times New Roman"/>
                                      <w:b/>
                                      <w:bCs/>
                                      <w:sz w:val="20"/>
                                      <w:szCs w:val="20"/>
                                    </w:rPr>
                                    <w:t>Post – Retirement Employment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Rectangle 53"/>
                            <wps:cNvSpPr/>
                            <wps:spPr>
                              <a:xfrm>
                                <a:off x="170121" y="871870"/>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Expertise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Rectangle 54"/>
                            <wps:cNvSpPr/>
                            <wps:spPr>
                              <a:xfrm>
                                <a:off x="0" y="1541721"/>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Motivation to Work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Rectangle 55"/>
                            <wps:cNvSpPr/>
                            <wps:spPr>
                              <a:xfrm>
                                <a:off x="159489" y="2211572"/>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F43DC6" w:rsidRDefault="002C7201" w:rsidP="00D32430">
                                  <w:pPr>
                                    <w:jc w:val="center"/>
                                    <w:rPr>
                                      <w:rFonts w:ascii="Times New Roman" w:hAnsi="Times New Roman" w:cs="Times New Roman"/>
                                      <w:b/>
                                      <w:bCs/>
                                      <w:sz w:val="16"/>
                                      <w:szCs w:val="16"/>
                                    </w:rPr>
                                  </w:pPr>
                                  <w:r w:rsidRPr="00F43DC6">
                                    <w:rPr>
                                      <w:rFonts w:ascii="Times New Roman" w:hAnsi="Times New Roman" w:cs="Times New Roman"/>
                                      <w:b/>
                                      <w:bCs/>
                                      <w:sz w:val="16"/>
                                      <w:szCs w:val="16"/>
                                    </w:rPr>
                                    <w:t>Post – Retirement Education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Rectangle 56"/>
                            <wps:cNvSpPr/>
                            <wps:spPr>
                              <a:xfrm>
                                <a:off x="382772" y="2923953"/>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 xml:space="preserve">Self-Actualization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Rectangle 57"/>
                            <wps:cNvSpPr/>
                            <wps:spPr>
                              <a:xfrm>
                                <a:off x="1520456" y="3264195"/>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Health Conditions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Rectangle 58"/>
                            <wps:cNvSpPr/>
                            <wps:spPr>
                              <a:xfrm>
                                <a:off x="2668772" y="3264195"/>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Occupational Demands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Rectangle 59"/>
                            <wps:cNvSpPr/>
                            <wps:spPr>
                              <a:xfrm>
                                <a:off x="3806456" y="2945219"/>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Legal Enforcements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Rectangle 60"/>
                            <wps:cNvSpPr/>
                            <wps:spPr>
                              <a:xfrm>
                                <a:off x="4072270" y="2254102"/>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Financial Sustainability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ectangle 61"/>
                            <wps:cNvSpPr/>
                            <wps:spPr>
                              <a:xfrm>
                                <a:off x="4199861" y="1594884"/>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Intentions of Employer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Rectangle 62"/>
                            <wps:cNvSpPr/>
                            <wps:spPr>
                              <a:xfrm>
                                <a:off x="4072270" y="935665"/>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Social Security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Rectangle 63"/>
                            <wps:cNvSpPr/>
                            <wps:spPr>
                              <a:xfrm>
                                <a:off x="3806456" y="287079"/>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Job Security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Rectangle 64"/>
                            <wps:cNvSpPr/>
                            <wps:spPr>
                              <a:xfrm>
                                <a:off x="1520456" y="17925"/>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6"/>
                                      <w:szCs w:val="16"/>
                                    </w:rPr>
                                  </w:pPr>
                                  <w:r w:rsidRPr="00B85A48">
                                    <w:rPr>
                                      <w:rFonts w:ascii="Times New Roman" w:hAnsi="Times New Roman" w:cs="Times New Roman"/>
                                      <w:b/>
                                      <w:bCs/>
                                      <w:sz w:val="16"/>
                                      <w:szCs w:val="16"/>
                                    </w:rPr>
                                    <w:t>Declining Fertility Rates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Rectangle 65"/>
                            <wps:cNvSpPr/>
                            <wps:spPr>
                              <a:xfrm>
                                <a:off x="382772" y="212651"/>
                                <a:ext cx="1052195"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6"/>
                                      <w:szCs w:val="16"/>
                                    </w:rPr>
                                  </w:pPr>
                                  <w:r w:rsidRPr="00B85A48">
                                    <w:rPr>
                                      <w:rFonts w:ascii="Times New Roman" w:hAnsi="Times New Roman" w:cs="Times New Roman"/>
                                      <w:b/>
                                      <w:bCs/>
                                      <w:sz w:val="16"/>
                                      <w:szCs w:val="16"/>
                                    </w:rPr>
                                    <w:t>Increased Life Expectancy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Rectangle 66"/>
                            <wps:cNvSpPr/>
                            <wps:spPr>
                              <a:xfrm>
                                <a:off x="2658139" y="10633"/>
                                <a:ext cx="1062827" cy="541655"/>
                              </a:xfrm>
                              <a:prstGeom prst="rect">
                                <a:avLst/>
                              </a:prstGeom>
                              <a:ln w="19050">
                                <a:solidFill>
                                  <a:schemeClr val="tx1"/>
                                </a:solidFill>
                              </a:ln>
                            </wps:spPr>
                            <wps:style>
                              <a:lnRef idx="2">
                                <a:schemeClr val="dk1"/>
                              </a:lnRef>
                              <a:fillRef idx="1">
                                <a:schemeClr val="lt1"/>
                              </a:fillRef>
                              <a:effectRef idx="0">
                                <a:schemeClr val="dk1"/>
                              </a:effectRef>
                              <a:fontRef idx="minor">
                                <a:schemeClr val="dk1"/>
                              </a:fontRef>
                            </wps:style>
                            <wps:txbx>
                              <w:txbxContent>
                                <w:p w:rsidR="002C7201" w:rsidRPr="00B85A48" w:rsidRDefault="002C7201" w:rsidP="00D32430">
                                  <w:pPr>
                                    <w:jc w:val="center"/>
                                    <w:rPr>
                                      <w:rFonts w:ascii="Times New Roman" w:hAnsi="Times New Roman" w:cs="Times New Roman"/>
                                      <w:b/>
                                      <w:bCs/>
                                      <w:sz w:val="14"/>
                                      <w:szCs w:val="14"/>
                                    </w:rPr>
                                  </w:pPr>
                                  <w:r w:rsidRPr="00B85A48">
                                    <w:rPr>
                                      <w:rFonts w:ascii="Times New Roman" w:hAnsi="Times New Roman" w:cs="Times New Roman"/>
                                      <w:b/>
                                      <w:bCs/>
                                      <w:sz w:val="14"/>
                                      <w:szCs w:val="14"/>
                                    </w:rPr>
                                    <w:t xml:space="preserve">Family Accomplishments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Straight Arrow Connector 67"/>
                            <wps:cNvCnPr/>
                            <wps:spPr>
                              <a:xfrm flipH="1">
                                <a:off x="2934586" y="552893"/>
                                <a:ext cx="276447" cy="8604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8" name="Straight Arrow Connector 68"/>
                            <wps:cNvCnPr/>
                            <wps:spPr>
                              <a:xfrm flipH="1">
                                <a:off x="3285461" y="829340"/>
                                <a:ext cx="520035" cy="6479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9" name="Straight Arrow Connector 69"/>
                            <wps:cNvCnPr/>
                            <wps:spPr>
                              <a:xfrm flipH="1">
                                <a:off x="3551275" y="1201479"/>
                                <a:ext cx="498770" cy="46783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0" name="Straight Arrow Connector 70"/>
                            <wps:cNvCnPr/>
                            <wps:spPr>
                              <a:xfrm>
                                <a:off x="2062717" y="552893"/>
                                <a:ext cx="361507" cy="86063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1" name="Straight Arrow Connector 71"/>
                            <wps:cNvCnPr/>
                            <wps:spPr>
                              <a:xfrm>
                                <a:off x="1424763" y="733647"/>
                                <a:ext cx="489098" cy="80807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2" name="Straight Arrow Connector 72"/>
                            <wps:cNvCnPr/>
                            <wps:spPr>
                              <a:xfrm>
                                <a:off x="1222745" y="1201479"/>
                                <a:ext cx="499730" cy="46736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3" name="Straight Arrow Connector 73"/>
                            <wps:cNvCnPr/>
                            <wps:spPr>
                              <a:xfrm flipH="1" flipV="1">
                                <a:off x="2860159" y="2296633"/>
                                <a:ext cx="285750" cy="97756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 name="Straight Arrow Connector 74"/>
                            <wps:cNvCnPr/>
                            <wps:spPr>
                              <a:xfrm flipV="1">
                                <a:off x="2062717" y="2286000"/>
                                <a:ext cx="244549" cy="97809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 name="Straight Arrow Connector 75"/>
                            <wps:cNvCnPr/>
                            <wps:spPr>
                              <a:xfrm flipV="1">
                                <a:off x="1222745" y="2083981"/>
                                <a:ext cx="573966" cy="41467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 name="Straight Arrow Connector 76"/>
                            <wps:cNvCnPr/>
                            <wps:spPr>
                              <a:xfrm>
                                <a:off x="1052624" y="1818167"/>
                                <a:ext cx="595143"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7" name="Straight Arrow Connector 77"/>
                            <wps:cNvCnPr/>
                            <wps:spPr>
                              <a:xfrm flipH="1" flipV="1">
                                <a:off x="3296093" y="2137144"/>
                                <a:ext cx="510363" cy="79744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8" name="Straight Arrow Connector 78"/>
                            <wps:cNvCnPr/>
                            <wps:spPr>
                              <a:xfrm flipH="1">
                                <a:off x="3615070" y="1881963"/>
                                <a:ext cx="584791"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9" name="Straight Arrow Connector 79"/>
                            <wps:cNvCnPr/>
                            <wps:spPr>
                              <a:xfrm flipH="1" flipV="1">
                                <a:off x="3466214" y="2083981"/>
                                <a:ext cx="606056" cy="4146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80" name="Straight Arrow Connector 80"/>
                          <wps:cNvCnPr/>
                          <wps:spPr>
                            <a:xfrm flipV="1">
                              <a:off x="1424763" y="2200940"/>
                              <a:ext cx="563527" cy="7228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3" name="Rectangle 1"/>
                        <wps:cNvSpPr/>
                        <wps:spPr>
                          <a:xfrm>
                            <a:off x="0" y="2923954"/>
                            <a:ext cx="5082363" cy="396875"/>
                          </a:xfrm>
                          <a:prstGeom prst="rect">
                            <a:avLst/>
                          </a:prstGeom>
                          <a:ln w="19050">
                            <a:noFill/>
                          </a:ln>
                        </wps:spPr>
                        <wps:style>
                          <a:lnRef idx="2">
                            <a:schemeClr val="dk1"/>
                          </a:lnRef>
                          <a:fillRef idx="1">
                            <a:schemeClr val="lt1"/>
                          </a:fillRef>
                          <a:effectRef idx="0">
                            <a:schemeClr val="dk1"/>
                          </a:effectRef>
                          <a:fontRef idx="minor">
                            <a:schemeClr val="dk1"/>
                          </a:fontRef>
                        </wps:style>
                        <wps:txbx>
                          <w:txbxContent>
                            <w:p w:rsidR="002C7201" w:rsidRPr="00F43DC6" w:rsidRDefault="002C7201" w:rsidP="00D32430">
                              <w:pPr>
                                <w:spacing w:after="0"/>
                                <w:rPr>
                                  <w:rFonts w:ascii="Times New Roman" w:hAnsi="Times New Roman" w:cs="Times New Roman"/>
                                  <w:b/>
                                  <w:bCs/>
                                  <w:sz w:val="20"/>
                                  <w:szCs w:val="20"/>
                                </w:rPr>
                              </w:pPr>
                              <w:r w:rsidRPr="00F43DC6">
                                <w:rPr>
                                  <w:rFonts w:ascii="Times New Roman" w:hAnsi="Times New Roman" w:cs="Times New Roman"/>
                                  <w:b/>
                                  <w:bCs/>
                                  <w:sz w:val="20"/>
                                  <w:szCs w:val="20"/>
                                </w:rPr>
                                <w:t>Figure 01: Determinants of Post-Retirement Employment in Sri Lanka (Literature Based)</w:t>
                              </w:r>
                            </w:p>
                            <w:p w:rsidR="002C7201" w:rsidRPr="00F43DC6" w:rsidRDefault="002C7201" w:rsidP="00C42BCB">
                              <w:pPr>
                                <w:spacing w:after="0"/>
                                <w:jc w:val="center"/>
                                <w:rPr>
                                  <w:rFonts w:ascii="Times New Roman" w:hAnsi="Times New Roman" w:cs="Times New Roman"/>
                                  <w:bCs/>
                                  <w:sz w:val="20"/>
                                  <w:szCs w:val="20"/>
                                </w:rPr>
                              </w:pPr>
                              <w:r w:rsidRPr="00F43DC6">
                                <w:rPr>
                                  <w:rFonts w:ascii="Times New Roman" w:hAnsi="Times New Roman" w:cs="Times New Roman"/>
                                  <w:bCs/>
                                  <w:sz w:val="20"/>
                                  <w:szCs w:val="20"/>
                                </w:rPr>
                                <w:t>Source: Author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FFBB679" id="Group 4" o:spid="_x0000_s1026" style="position:absolute;left:0;text-align:left;margin-left:0;margin-top:46.75pt;width:400.15pt;height:261.45pt;z-index:251659264;mso-position-horizontal:left;mso-position-horizontal-relative:margin" coordsize="50823,33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">
                <v:group id="Group 50" o:spid="_x0000_s1027" style="position:absolute;width:49441;height:28920" coordorigin=",106" coordsize="52520,379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group id="Group 51" o:spid="_x0000_s1028" style="position:absolute;top:106;width:52520;height:37952" coordorigin=",106" coordsize="52520,379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oval id="Oval 52" o:spid="_x0000_s1029" style="position:absolute;left:16480;top:13928;width:19666;height:89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4H8cQA&#10;AADbAAAADwAAAGRycy9kb3ducmV2LnhtbESPQWvCQBSE7wX/w/KE3uomAYNGVxGpGOqpKoi3R/aZ&#10;RLNvQ3ar6b/vCgWPw8x8w8yXvWnEnTpXW1YQjyIQxIXVNZcKjofNxwSE88gaG8uk4JccLBeDtzlm&#10;2j74m+57X4oAYZehgsr7NpPSFRUZdCPbEgfvYjuDPsiulLrDR4CbRiZRlEqDNYeFCltaV1Tc9j9G&#10;wTXenneH0+e1nuTpV5LjJp0eY6Xeh/1qBsJT71/h/3auFYwTeH4JP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uB/HEAAAA2wAAAA8AAAAAAAAAAAAAAAAAmAIAAGRycy9k&#10;b3ducmV2LnhtbFBLBQYAAAAABAAEAPUAAACJAwAAAAA=&#10;" fillcolor="#555 [2160]" strokecolor="black [3200]" strokeweight=".5pt">
                      <v:fill color2="#313131 [2608]" rotate="t" colors="0 #9b9b9b;.5 #8e8e8e;1 #797979" focus="100%" type="gradient">
                        <o:fill v:ext="view" type="gradientUnscaled"/>
                      </v:fill>
                      <v:stroke joinstyle="miter"/>
                      <v:textbox>
                        <w:txbxContent>
                          <w:p w:rsidR="002C7201" w:rsidRPr="00B85A48" w:rsidRDefault="002C7201" w:rsidP="00D32430">
                            <w:pPr>
                              <w:jc w:val="center"/>
                              <w:rPr>
                                <w:rFonts w:ascii="Times New Roman" w:hAnsi="Times New Roman" w:cs="Times New Roman"/>
                                <w:b/>
                                <w:bCs/>
                                <w:sz w:val="20"/>
                                <w:szCs w:val="20"/>
                              </w:rPr>
                            </w:pPr>
                            <w:r w:rsidRPr="00B85A48">
                              <w:rPr>
                                <w:rFonts w:ascii="Times New Roman" w:hAnsi="Times New Roman" w:cs="Times New Roman"/>
                                <w:b/>
                                <w:bCs/>
                                <w:sz w:val="20"/>
                                <w:szCs w:val="20"/>
                              </w:rPr>
                              <w:t>Post – Retirement Employment</w:t>
                            </w:r>
                          </w:p>
                        </w:txbxContent>
                      </v:textbox>
                    </v:oval>
                    <v:rect id="Rectangle 53" o:spid="_x0000_s1030" style="position:absolute;left:1701;top:8718;width:10522;height:54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T3VMQA&#10;AADbAAAADwAAAGRycy9kb3ducmV2LnhtbESPQWsCMRSE74X+h/AKvdXsVpS6GqUUanuTbkU9PjZv&#10;N4ublyWJuv77Rih4HGbmG2axGmwnzuRD61hBPspAEFdOt9wo2P5+vryBCBFZY+eYFFwpwGr5+LDA&#10;QrsL/9C5jI1IEA4FKjAx9oWUoTJkMYxcT5y82nmLMUnfSO3xkuC2k69ZNpUWW04LBnv6MFQdy5NV&#10;sM7L/dWbST4Lpq4PuyltvzYnpZ6fhvc5iEhDvIf/299awWQMty/p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E91TEAAAA2wAAAA8AAAAAAAAAAAAAAAAAmAIAAGRycy9k&#10;b3ducmV2LnhtbFBLBQYAAAAABAAEAPUAAACJAwAAAAA=&#10;" fillcolor="white [3201]" strokecolor="black [3213]" strokeweight="1.5pt">
                      <v:textbo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Expertise</w:t>
                            </w:r>
                          </w:p>
                        </w:txbxContent>
                      </v:textbox>
                    </v:rect>
                    <v:rect id="Rectangle 54" o:spid="_x0000_s1031" style="position:absolute;top:15417;width:10521;height:54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1vIMQA&#10;AADbAAAADwAAAGRycy9kb3ducmV2LnhtbESPQWsCMRSE74X+h/AKvdXsFpW6GqUUanuTbkU9PjZv&#10;N4ublyWJuv77Rih4HGbmG2axGmwnzuRD61hBPspAEFdOt9wo2P5+vryBCBFZY+eYFFwpwGr5+LDA&#10;QrsL/9C5jI1IEA4FKjAx9oWUoTJkMYxcT5y82nmLMUnfSO3xkuC2k69ZNpUWW04LBnv6MFQdy5NV&#10;sM7L/dWbST4Lpq4PuyltvzYnpZ6fhvc5iEhDvIf/299awWQMty/p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tbyDEAAAA2wAAAA8AAAAAAAAAAAAAAAAAmAIAAGRycy9k&#10;b3ducmV2LnhtbFBLBQYAAAAABAAEAPUAAACJAwAAAAA=&#10;" fillcolor="white [3201]" strokecolor="black [3213]" strokeweight="1.5pt">
                      <v:textbo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Motivation to Work</w:t>
                            </w:r>
                          </w:p>
                        </w:txbxContent>
                      </v:textbox>
                    </v:rect>
                    <v:rect id="Rectangle 55" o:spid="_x0000_s1032" style="position:absolute;left:1594;top:22115;width:10522;height:54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HKu8MA&#10;AADbAAAADwAAAGRycy9kb3ducmV2LnhtbESPQWvCQBSE74X+h+UVequbFCI1uooU2nqTRmk9PrIv&#10;2WD2bdhdNf57Vyj0OMzMN8xiNdpenMmHzrGCfJKBIK6d7rhVsN99vLyBCBFZY++YFFwpwGr5+LDA&#10;UrsLf9O5iq1IEA4lKjAxDqWUoTZkMUzcQJy8xnmLMUnfSu3xkuC2l69ZNpUWO04LBgd6N1Qfq5NV&#10;8JlXv1dvinwWTNMcfqa0/9qelHp+GtdzEJHG+B/+a2+0gqKA+5f0A+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WHKu8MAAADbAAAADwAAAAAAAAAAAAAAAACYAgAAZHJzL2Rv&#10;d25yZXYueG1sUEsFBgAAAAAEAAQA9QAAAIgDAAAAAA==&#10;" fillcolor="white [3201]" strokecolor="black [3213]" strokeweight="1.5pt">
                      <v:textbox>
                        <w:txbxContent>
                          <w:p w:rsidR="002C7201" w:rsidRPr="00F43DC6" w:rsidRDefault="002C7201" w:rsidP="00D32430">
                            <w:pPr>
                              <w:jc w:val="center"/>
                              <w:rPr>
                                <w:rFonts w:ascii="Times New Roman" w:hAnsi="Times New Roman" w:cs="Times New Roman"/>
                                <w:b/>
                                <w:bCs/>
                                <w:sz w:val="16"/>
                                <w:szCs w:val="16"/>
                              </w:rPr>
                            </w:pPr>
                            <w:r w:rsidRPr="00F43DC6">
                              <w:rPr>
                                <w:rFonts w:ascii="Times New Roman" w:hAnsi="Times New Roman" w:cs="Times New Roman"/>
                                <w:b/>
                                <w:bCs/>
                                <w:sz w:val="16"/>
                                <w:szCs w:val="16"/>
                              </w:rPr>
                              <w:t>Post – Retirement Education</w:t>
                            </w:r>
                          </w:p>
                        </w:txbxContent>
                      </v:textbox>
                    </v:rect>
                    <v:rect id="Rectangle 56" o:spid="_x0000_s1033" style="position:absolute;left:3827;top:29239;width:10522;height:54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NUzMMA&#10;AADbAAAADwAAAGRycy9kb3ducmV2LnhtbESPQWvCQBSE74X+h+UVvNVNBEMbXUUK1d6kqbQeH9mX&#10;bDD7NuyuGv99Vyj0OMzMN8xyPdpeXMiHzrGCfJqBIK6d7rhVcPh6f34BESKyxt4xKbhRgPXq8WGJ&#10;pXZX/qRLFVuRIBxKVGBiHEopQ23IYpi6gTh5jfMWY5K+ldrjNcFtL2dZVkiLHacFgwO9GapP1dkq&#10;2ObVz82bef4aTNMcvws67PZnpSZP42YBItIY/8N/7Q+tYF7A/Uv6A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NUzMMAAADbAAAADwAAAAAAAAAAAAAAAACYAgAAZHJzL2Rv&#10;d25yZXYueG1sUEsFBgAAAAAEAAQA9QAAAIgDAAAAAA==&#10;" fillcolor="white [3201]" strokecolor="black [3213]" strokeweight="1.5pt">
                      <v:textbo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 xml:space="preserve">Self-Actualization </w:t>
                            </w:r>
                          </w:p>
                        </w:txbxContent>
                      </v:textbox>
                    </v:rect>
                    <v:rect id="Rectangle 57" o:spid="_x0000_s1034" style="position:absolute;left:15204;top:32641;width:10522;height:54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xV8QA&#10;AADbAAAADwAAAGRycy9kb3ducmV2LnhtbESPQWsCMRSE74X+h/AK3mp2C1pdjVIKtb2VrqIeH5u3&#10;m8XNy5JEXf99Uyh4HGbmG2a5HmwnLuRD61hBPs5AEFdOt9wo2G0/nmcgQkTW2DkmBTcKsF49Piyx&#10;0O7KP3QpYyMShEOBCkyMfSFlqAxZDGPXEyevdt5iTNI3Unu8Jrjt5EuWTaXFltOCwZ7eDVWn8mwV&#10;bPLycPNmks+Dqevjfkq7z++zUqOn4W0BItIQ7+H/9pdWMHmFvy/pB8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8VfEAAAA2wAAAA8AAAAAAAAAAAAAAAAAmAIAAGRycy9k&#10;b3ducmV2LnhtbFBLBQYAAAAABAAEAPUAAACJAwAAAAA=&#10;" fillcolor="white [3201]" strokecolor="black [3213]" strokeweight="1.5pt">
                      <v:textbo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Health Conditions</w:t>
                            </w:r>
                          </w:p>
                        </w:txbxContent>
                      </v:textbox>
                    </v:rect>
                    <v:rect id="Rectangle 58" o:spid="_x0000_s1035" style="position:absolute;left:26687;top:32641;width:10522;height:54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BlJcAA&#10;AADbAAAADwAAAGRycy9kb3ducmV2LnhtbERPz2vCMBS+C/4P4Q1207SC4jqjDMFtN7HKtuOjeW3K&#10;mpeSRK3/vTkIHj++36vNYDtxIR9axwryaQaCuHK65UbB6bibLEGEiKyxc0wKbhRgsx6PVlhod+UD&#10;XcrYiBTCoUAFJsa+kDJUhiyGqeuJE1c7bzEm6BupPV5TuO3kLMsW0mLLqcFgT1tD1X95tgo+8/L3&#10;5s08fwumrv9+FnT62p+Ven0ZPt5BRBriU/xwf2sF8zQ2fUk/QK7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2BlJcAAAADbAAAADwAAAAAAAAAAAAAAAACYAgAAZHJzL2Rvd25y&#10;ZXYueG1sUEsFBgAAAAAEAAQA9QAAAIUDAAAAAA==&#10;" fillcolor="white [3201]" strokecolor="black [3213]" strokeweight="1.5pt">
                      <v:textbo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Occupational Demands</w:t>
                            </w:r>
                          </w:p>
                        </w:txbxContent>
                      </v:textbox>
                    </v:rect>
                    <v:rect id="Rectangle 59" o:spid="_x0000_s1036" style="position:absolute;left:38064;top:29452;width:10522;height:54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zAvsMA&#10;AADbAAAADwAAAGRycy9kb3ducmV2LnhtbESPQWsCMRSE74X+h/AK3mp2BaWuRpFCtbfiKq3Hx+bt&#10;ZnHzsiRR13/fFIQeh5n5hlmuB9uJK/nQOlaQjzMQxJXTLTcKjoeP1zcQISJr7ByTgjsFWK+en5ZY&#10;aHfjPV3L2IgE4VCgAhNjX0gZKkMWw9j1xMmrnbcYk/SN1B5vCW47OcmymbTYclow2NO7oepcXqyC&#10;bV7+3L2Z5vNg6vr0PaPj7uui1Ohl2CxARBrif/jR/tQKpnP4+5J+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zAvsMAAADbAAAADwAAAAAAAAAAAAAAAACYAgAAZHJzL2Rv&#10;d25yZXYueG1sUEsFBgAAAAAEAAQA9QAAAIgDAAAAAA==&#10;" fillcolor="white [3201]" strokecolor="black [3213]" strokeweight="1.5pt">
                      <v:textbo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Legal Enforcements</w:t>
                            </w:r>
                          </w:p>
                        </w:txbxContent>
                      </v:textbox>
                    </v:rect>
                    <v:rect id="Rectangle 60" o:spid="_x0000_s1037" style="position:absolute;left:40722;top:22541;width:10522;height:54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qjnsAA&#10;AADbAAAADwAAAGRycy9kb3ducmV2LnhtbERPz2vCMBS+C/4P4QneNK2wsnVGGYM5b2In246P5rUp&#10;a15KErX+9+Yg7Pjx/V5vR9uLC/nQOVaQLzMQxLXTHbcKTl8fi2cQISJr7B2TghsF2G6mkzWW2l35&#10;SJcqtiKFcChRgYlxKKUMtSGLYekG4sQ1zluMCfpWao/XFG57ucqyQlrsODUYHOjdUP1Xna2CXV79&#10;3Lx5yl+CaZrf74JOn4ezUvPZ+PYKItIY/8UP914rKNL69CX9ALm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3qjnsAAAADbAAAADwAAAAAAAAAAAAAAAACYAgAAZHJzL2Rvd25y&#10;ZXYueG1sUEsFBgAAAAAEAAQA9QAAAIUDAAAAAA==&#10;" fillcolor="white [3201]" strokecolor="black [3213]" strokeweight="1.5pt">
                      <v:textbo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Financial Sustainability</w:t>
                            </w:r>
                          </w:p>
                        </w:txbxContent>
                      </v:textbox>
                    </v:rect>
                    <v:rect id="Rectangle 61" o:spid="_x0000_s1038" style="position:absolute;left:41998;top:15948;width:10522;height:54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YGBcMA&#10;AADbAAAADwAAAGRycy9kb3ducmV2LnhtbESPQWvCQBSE74X+h+UJvdVNhIY2uooUbHuTRqkeH9mX&#10;bDD7NuyuGv99Vyj0OMzMN8xiNdpeXMiHzrGCfJqBIK6d7rhVsN9tnl9BhIissXdMCm4UYLV8fFhg&#10;qd2Vv+lSxVYkCIcSFZgYh1LKUBuyGKZuIE5e47zFmKRvpfZ4TXDby1mWFdJix2nB4EDvhupTdbYK&#10;PvLqcPPmJX8LpmmOPwXtP7dnpZ4m43oOItIY/8N/7S+toMjh/iX9A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DYGBcMAAADbAAAADwAAAAAAAAAAAAAAAACYAgAAZHJzL2Rv&#10;d25yZXYueG1sUEsFBgAAAAAEAAQA9QAAAIgDAAAAAA==&#10;" fillcolor="white [3201]" strokecolor="black [3213]" strokeweight="1.5pt">
                      <v:textbo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Intentions of Employer</w:t>
                            </w:r>
                          </w:p>
                        </w:txbxContent>
                      </v:textbox>
                    </v:rect>
                    <v:rect id="Rectangle 62" o:spid="_x0000_s1039" style="position:absolute;left:40722;top:9356;width:10522;height:54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SYcsMA&#10;AADbAAAADwAAAGRycy9kb3ducmV2LnhtbESPQWvCQBSE70L/w/IK3nQTwdBGVymFtt6KqbQeH9mX&#10;bGj2bdhdNf57tyD0OMzMN8x6O9penMmHzrGCfJ6BIK6d7rhVcPh6mz2BCBFZY++YFFwpwHbzMFlj&#10;qd2F93SuYisShEOJCkyMQyllqA1ZDHM3ECevcd5iTNK3Unu8JLjt5SLLCmmx47RgcKBXQ/VvdbIK&#10;3vPq5+rNMn8OpmmO3wUdPj5PSk0fx5cViEhj/A/f2zutoFjA35f0A+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OSYcsMAAADbAAAADwAAAAAAAAAAAAAAAACYAgAAZHJzL2Rv&#10;d25yZXYueG1sUEsFBgAAAAAEAAQA9QAAAIgDAAAAAA==&#10;" fillcolor="white [3201]" strokecolor="black [3213]" strokeweight="1.5pt">
                      <v:textbo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Social Security</w:t>
                            </w:r>
                          </w:p>
                        </w:txbxContent>
                      </v:textbox>
                    </v:rect>
                    <v:rect id="Rectangle 63" o:spid="_x0000_s1040" style="position:absolute;left:38064;top:2870;width:10522;height:54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g96cQA&#10;AADbAAAADwAAAGRycy9kb3ducmV2LnhtbESPzWrDMBCE74W8g9hAbo3shpjWiRJCoT+3Uje0OS7W&#10;2jKxVkZSEufto0Khx2FmvmHW29H24kw+dI4V5PMMBHHtdMetgv3Xy/0jiBCRNfaOScGVAmw3k7s1&#10;ltpd+JPOVWxFgnAoUYGJcSilDLUhi2HuBuLkNc5bjEn6VmqPlwS3vXzIskJa7DgtGBzo2VB9rE5W&#10;wWte/Vy9WeZPwTTN4bug/dvHSanZdNytQEQa43/4r/2uFRQL+P2SfoD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oPenEAAAA2wAAAA8AAAAAAAAAAAAAAAAAmAIAAGRycy9k&#10;b3ducmV2LnhtbFBLBQYAAAAABAAEAPUAAACJAwAAAAA=&#10;" fillcolor="white [3201]" strokecolor="black [3213]" strokeweight="1.5pt">
                      <v:textbox>
                        <w:txbxContent>
                          <w:p w:rsidR="002C7201" w:rsidRPr="00B85A48" w:rsidRDefault="002C7201" w:rsidP="00D32430">
                            <w:pPr>
                              <w:jc w:val="center"/>
                              <w:rPr>
                                <w:rFonts w:ascii="Times New Roman" w:hAnsi="Times New Roman" w:cs="Times New Roman"/>
                                <w:b/>
                                <w:bCs/>
                                <w:sz w:val="18"/>
                                <w:szCs w:val="18"/>
                              </w:rPr>
                            </w:pPr>
                            <w:r w:rsidRPr="00B85A48">
                              <w:rPr>
                                <w:rFonts w:ascii="Times New Roman" w:hAnsi="Times New Roman" w:cs="Times New Roman"/>
                                <w:b/>
                                <w:bCs/>
                                <w:sz w:val="18"/>
                                <w:szCs w:val="18"/>
                              </w:rPr>
                              <w:t>Job Security</w:t>
                            </w:r>
                          </w:p>
                        </w:txbxContent>
                      </v:textbox>
                    </v:rect>
                    <v:rect id="Rectangle 64" o:spid="_x0000_s1041" style="position:absolute;left:15204;top:179;width:10522;height:54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GlncQA&#10;AADbAAAADwAAAGRycy9kb3ducmV2LnhtbESPzWrDMBCE74W8g9hAbo3skpjWiRJCoT+3Uje0OS7W&#10;2jKxVkZSEufto0Khx2FmvmHW29H24kw+dI4V5PMMBHHtdMetgv3Xy/0jiBCRNfaOScGVAmw3k7s1&#10;ltpd+JPOVWxFgnAoUYGJcSilDLUhi2HuBuLkNc5bjEn6VmqPlwS3vXzIskJa7DgtGBzo2VB9rE5W&#10;wWte/Vy9WeZPwTTN4bug/dvHSanZdNytQEQa43/4r/2uFRQL+P2SfoD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BpZ3EAAAA2wAAAA8AAAAAAAAAAAAAAAAAmAIAAGRycy9k&#10;b3ducmV2LnhtbFBLBQYAAAAABAAEAPUAAACJAwAAAAA=&#10;" fillcolor="white [3201]" strokecolor="black [3213]" strokeweight="1.5pt">
                      <v:textbox>
                        <w:txbxContent>
                          <w:p w:rsidR="002C7201" w:rsidRPr="00B85A48" w:rsidRDefault="002C7201" w:rsidP="00D32430">
                            <w:pPr>
                              <w:jc w:val="center"/>
                              <w:rPr>
                                <w:rFonts w:ascii="Times New Roman" w:hAnsi="Times New Roman" w:cs="Times New Roman"/>
                                <w:b/>
                                <w:bCs/>
                                <w:sz w:val="16"/>
                                <w:szCs w:val="16"/>
                              </w:rPr>
                            </w:pPr>
                            <w:r w:rsidRPr="00B85A48">
                              <w:rPr>
                                <w:rFonts w:ascii="Times New Roman" w:hAnsi="Times New Roman" w:cs="Times New Roman"/>
                                <w:b/>
                                <w:bCs/>
                                <w:sz w:val="16"/>
                                <w:szCs w:val="16"/>
                              </w:rPr>
                              <w:t>Declining Fertility Rates</w:t>
                            </w:r>
                          </w:p>
                        </w:txbxContent>
                      </v:textbox>
                    </v:rect>
                    <v:rect id="Rectangle 65" o:spid="_x0000_s1042" style="position:absolute;left:3827;top:2126;width:10522;height:54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0ABsMA&#10;AADbAAAADwAAAGRycy9kb3ducmV2LnhtbESPQWvCQBSE74X+h+UVvNVNBEMbXUUK1d6kqbQeH9mX&#10;bDD7NuyuGv99Vyj0OMzMN8xyPdpeXMiHzrGCfJqBIK6d7rhVcPh6f34BESKyxt4xKbhRgPXq8WGJ&#10;pXZX/qRLFVuRIBxKVGBiHEopQ23IYpi6gTh5jfMWY5K+ldrjNcFtL2dZVkiLHacFgwO9GapP1dkq&#10;2ObVz82bef4aTNMcvws67PZnpSZP42YBItIY/8N/7Q+toJjD/Uv6A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0ABsMAAADbAAAADwAAAAAAAAAAAAAAAACYAgAAZHJzL2Rv&#10;d25yZXYueG1sUEsFBgAAAAAEAAQA9QAAAIgDAAAAAA==&#10;" fillcolor="white [3201]" strokecolor="black [3213]" strokeweight="1.5pt">
                      <v:textbox>
                        <w:txbxContent>
                          <w:p w:rsidR="002C7201" w:rsidRPr="00B85A48" w:rsidRDefault="002C7201" w:rsidP="00D32430">
                            <w:pPr>
                              <w:jc w:val="center"/>
                              <w:rPr>
                                <w:rFonts w:ascii="Times New Roman" w:hAnsi="Times New Roman" w:cs="Times New Roman"/>
                                <w:b/>
                                <w:bCs/>
                                <w:sz w:val="16"/>
                                <w:szCs w:val="16"/>
                              </w:rPr>
                            </w:pPr>
                            <w:r w:rsidRPr="00B85A48">
                              <w:rPr>
                                <w:rFonts w:ascii="Times New Roman" w:hAnsi="Times New Roman" w:cs="Times New Roman"/>
                                <w:b/>
                                <w:bCs/>
                                <w:sz w:val="16"/>
                                <w:szCs w:val="16"/>
                              </w:rPr>
                              <w:t>Increased Life Expectancy</w:t>
                            </w:r>
                          </w:p>
                        </w:txbxContent>
                      </v:textbox>
                    </v:rect>
                    <v:rect id="Rectangle 66" o:spid="_x0000_s1043" style="position:absolute;left:26581;top:106;width:10628;height:54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eccMA&#10;AADbAAAADwAAAGRycy9kb3ducmV2LnhtbESPQWvCQBSE74X+h+UVvNVNBEMbXaUU1N6kUdoeH9mX&#10;bDD7NuyuGv99Vyj0OMzMN8xyPdpeXMiHzrGCfJqBIK6d7rhVcDxsnl9AhIissXdMCm4UYL16fFhi&#10;qd2VP+lSxVYkCIcSFZgYh1LKUBuyGKZuIE5e47zFmKRvpfZ4TXDby1mWFdJix2nB4EDvhupTdbYK&#10;tnn1ffNmnr8G0zQ/XwUdd/uzUpOn8W0BItIY/8N/7Q+toCjg/iX9AL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9+eccMAAADbAAAADwAAAAAAAAAAAAAAAACYAgAAZHJzL2Rv&#10;d25yZXYueG1sUEsFBgAAAAAEAAQA9QAAAIgDAAAAAA==&#10;" fillcolor="white [3201]" strokecolor="black [3213]" strokeweight="1.5pt">
                      <v:textbox>
                        <w:txbxContent>
                          <w:p w:rsidR="002C7201" w:rsidRPr="00B85A48" w:rsidRDefault="002C7201" w:rsidP="00D32430">
                            <w:pPr>
                              <w:jc w:val="center"/>
                              <w:rPr>
                                <w:rFonts w:ascii="Times New Roman" w:hAnsi="Times New Roman" w:cs="Times New Roman"/>
                                <w:b/>
                                <w:bCs/>
                                <w:sz w:val="14"/>
                                <w:szCs w:val="14"/>
                              </w:rPr>
                            </w:pPr>
                            <w:r w:rsidRPr="00B85A48">
                              <w:rPr>
                                <w:rFonts w:ascii="Times New Roman" w:hAnsi="Times New Roman" w:cs="Times New Roman"/>
                                <w:b/>
                                <w:bCs/>
                                <w:sz w:val="14"/>
                                <w:szCs w:val="14"/>
                              </w:rPr>
                              <w:t xml:space="preserve">Family Accomplishments </w:t>
                            </w:r>
                          </w:p>
                        </w:txbxContent>
                      </v:textbox>
                    </v:rect>
                    <v:shapetype id="_x0000_t32" coordsize="21600,21600" o:spt="32" o:oned="t" path="m,l21600,21600e" filled="f">
                      <v:path arrowok="t" fillok="f" o:connecttype="none"/>
                      <o:lock v:ext="edit" shapetype="t"/>
                    </v:shapetype>
                    <v:shape id="Straight Arrow Connector 67" o:spid="_x0000_s1044" type="#_x0000_t32" style="position:absolute;left:29345;top:5528;width:2765;height:86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fv9sMAAADbAAAADwAAAGRycy9kb3ducmV2LnhtbESP3YrCMBSE7wXfIRzBG9FkvVCpRhHZ&#10;FRdR8OcBDs2xLTYn3SZqffuNIHg5zMw3zGzR2FLcqfaFYw1fAwWCOHWm4EzD+fTTn4DwAdlg6Zg0&#10;PMnDYt5uzTAx7sEHuh9DJiKEfYIa8hCqREqf5mTRD1xFHL2Lqy2GKOtMmhofEW5LOVRqJC0WHBdy&#10;rGiVU3o93qwG+73ejJvec9ez5d/JbL363QeldbfTLKcgAjXhE363N0bDaAyvL/EHyP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n7/bDAAAA2wAAAA8AAAAAAAAAAAAA&#10;AAAAoQIAAGRycy9kb3ducmV2LnhtbFBLBQYAAAAABAAEAPkAAACRAwAAAAA=&#10;" strokecolor="black [3213]" strokeweight=".5pt">
                      <v:stroke endarrow="block" joinstyle="miter"/>
                    </v:shape>
                    <v:shape id="Straight Arrow Connector 68" o:spid="_x0000_s1045" type="#_x0000_t32" style="position:absolute;left:32854;top:8293;width:5200;height:64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h7hMEAAADbAAAADwAAAGRycy9kb3ducmV2LnhtbERP3WrCMBS+F3yHcITdFE3cRZXOKCI6&#10;OsTBdA9waM7asuakNpm2b79cCF5+fP+rTW8bcaPO1441zGcKBHHhTM2lhu/LYboE4QOywcYxaRjI&#10;w2Y9Hq0wM+7OX3Q7h1LEEPYZaqhCaDMpfVGRRT9zLXHkflxnMUTYldJ0eI/htpGvSqXSYs2xocKW&#10;dhUVv+c/q8Hu3/NFnwynxDbXizl69fEZlNYvk377BiJQH57ihzs3GtI4Nn6JP0C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uHuEwQAAANsAAAAPAAAAAAAAAAAAAAAA&#10;AKECAABkcnMvZG93bnJldi54bWxQSwUGAAAAAAQABAD5AAAAjwMAAAAA&#10;" strokecolor="black [3213]" strokeweight=".5pt">
                      <v:stroke endarrow="block" joinstyle="miter"/>
                    </v:shape>
                    <v:shape id="Straight Arrow Connector 69" o:spid="_x0000_s1046" type="#_x0000_t32" style="position:absolute;left:35512;top:12014;width:4988;height:46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TeH8QAAADbAAAADwAAAGRycy9kb3ducmV2LnhtbESP3YrCMBSE7wXfIRzBG9FkvfCnGkVE&#10;xWXZBX8e4NAc22Jz0m2i1rffLAheDjPzDTNfNrYUd6p94VjDx0CBIE6dKTjTcD5t+xMQPiAbLB2T&#10;hid5WC7arTkmxj34QPdjyESEsE9QQx5ClUjp05ws+oGriKN3cbXFEGWdSVPjI8JtKYdKjaTFguNC&#10;jhWtc0qvx5vVYDe7/bjpPb97tvw9mS+vPn+C0rrbaVYzEIGa8A6/2nujYTSF/y/xB8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9N4fxAAAANsAAAAPAAAAAAAAAAAA&#10;AAAAAKECAABkcnMvZG93bnJldi54bWxQSwUGAAAAAAQABAD5AAAAkgMAAAAA&#10;" strokecolor="black [3213]" strokeweight=".5pt">
                      <v:stroke endarrow="block" joinstyle="miter"/>
                    </v:shape>
                    <v:shape id="Straight Arrow Connector 70" o:spid="_x0000_s1047" type="#_x0000_t32" style="position:absolute;left:20627;top:5528;width:3615;height:86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eULXcEAAADbAAAADwAAAGRycy9kb3ducmV2LnhtbERPz2vCMBS+D/Y/hDfwNlMVdHZGGYKo&#10;eNFO1N0ezbMNa15KE239781hsOPH93u26Gwl7tR441jBoJ+AIM6dNlwoOH6v3j9A+ICssXJMCh7k&#10;YTF/fZlhql3LB7pnoRAxhH2KCsoQ6lRKn5dk0fddTRy5q2sshgibQuoG2xhuKzlMkrG0aDg2lFjT&#10;sqT8N7tZBfnxcp7S3px0OzKTdb372Y2yrVK9t+7rE0SgLvyL/9wbrWAS18cv8QfI+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5QtdwQAAANsAAAAPAAAAAAAAAAAAAAAA&#10;AKECAABkcnMvZG93bnJldi54bWxQSwUGAAAAAAQABAD5AAAAjwMAAAAA&#10;" strokecolor="black [3213]" strokeweight=".5pt">
                      <v:stroke endarrow="block" joinstyle="miter"/>
                    </v:shape>
                    <v:shape id="Straight Arrow Connector 71" o:spid="_x0000_s1048" type="#_x0000_t32" style="position:absolute;left:14247;top:7336;width:4891;height:80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muxsUAAADbAAAADwAAAGRycy9kb3ducmV2LnhtbESPQWvCQBSE7wX/w/KE3upGhWqjq4gg&#10;tnipqbR6e2SfyWL2bchuTfrvXaHgcZiZb5j5srOVuFLjjWMFw0ECgjh32nCh4PC1eZmC8AFZY+WY&#10;FPyRh+Wi9zTHVLuW93TNQiEihH2KCsoQ6lRKn5dk0Q9cTRy9s2sshiibQuoG2wi3lRwlyau0aDgu&#10;lFjTuqT8kv1aBfnh+PNGn+Zbt2Mz2da7026cfSj13O9WMxCBuvAI/7fftYLJEO5f4g+Qi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qmuxsUAAADbAAAADwAAAAAAAAAA&#10;AAAAAAChAgAAZHJzL2Rvd25yZXYueG1sUEsFBgAAAAAEAAQA+QAAAJMDAAAAAA==&#10;" strokecolor="black [3213]" strokeweight=".5pt">
                      <v:stroke endarrow="block" joinstyle="miter"/>
                    </v:shape>
                    <v:shape id="Straight Arrow Connector 72" o:spid="_x0000_s1049" type="#_x0000_t32" style="position:absolute;left:12227;top:12014;width:4997;height:46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swscUAAADbAAAADwAAAGRycy9kb3ducmV2LnhtbESPQWvCQBSE70L/w/IKvZlNFbSmriJC&#10;qeKlRtH29si+Jkuzb0N2a+K/d4VCj8PMfMPMl72txYVabxwreE5SEMSF04ZLBcfD2/AFhA/IGmvH&#10;pOBKHpaLh8EcM+063tMlD6WIEPYZKqhCaDIpfVGRRZ+4hjh63661GKJsS6lb7CLc1nKUphNp0XBc&#10;qLChdUXFT/5rFRTHz/OMPsxJd2MzfW92X7txvlXq6bFfvYII1If/8F97oxVMR3D/En+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nswscUAAADbAAAADwAAAAAAAAAA&#10;AAAAAAChAgAAZHJzL2Rvd25yZXYueG1sUEsFBgAAAAAEAAQA+QAAAJMDAAAAAA==&#10;" strokecolor="black [3213]" strokeweight=".5pt">
                      <v:stroke endarrow="block" joinstyle="miter"/>
                    </v:shape>
                    <v:shape id="Straight Arrow Connector 73" o:spid="_x0000_s1050" type="#_x0000_t32" style="position:absolute;left:28601;top:22966;width:2858;height:977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5nU68YAAADbAAAADwAAAGRycy9kb3ducmV2LnhtbESPQUsDMRSE74L/ITzBm81q0S3bpkWk&#10;hR6K4FraHl83r5vFzcuaxO7qrzcFweMwM98ws8VgW3EmHxrHCu5HGQjiyumGawXb99XdBESIyBpb&#10;x6TgmwIs5tdXMyy06/mNzmWsRYJwKFCBibErpAyVIYth5Dri5J2ctxiT9LXUHvsEt618yLInabHh&#10;tGCwoxdD1Uf5ZRUc9uWe9evjbvO5dId8/ONNf8yVur0ZnqcgIg3xP/zXXmsF+RguX9IPk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OZ1OvGAAAA2wAAAA8AAAAAAAAA&#10;AAAAAAAAoQIAAGRycy9kb3ducmV2LnhtbFBLBQYAAAAABAAEAPkAAACUAwAAAAA=&#10;" strokecolor="black [3213]" strokeweight=".5pt">
                      <v:stroke endarrow="block" joinstyle="miter"/>
                    </v:shape>
                    <v:shape id="Straight Arrow Connector 74" o:spid="_x0000_s1051" type="#_x0000_t32" style="position:absolute;left:20627;top:22860;width:2445;height:97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znXMQAAADbAAAADwAAAGRycy9kb3ducmV2LnhtbESP0WrCQBRE3wX/YbmCL6K7lmJK6ioi&#10;bUkpLTT6AZfsbRLM3k2zq4l/3y0IPg4zc4ZZbwfbiAt1vnasYblQIIgLZ2ouNRwPr/MnED4gG2wc&#10;k4YredhuxqM1psb1/E2XPJQiQtinqKEKoU2l9EVFFv3CtcTR+3GdxRBlV0rTYR/htpEPSq2kxZrj&#10;QoUt7SsqTvnZarAvb1kyzK6fM9v8HsyHV+9fQWk9nQy7ZxCBhnAP39qZ0ZA8wv+X+APk5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LOdcxAAAANsAAAAPAAAAAAAAAAAA&#10;AAAAAKECAABkcnMvZG93bnJldi54bWxQSwUGAAAAAAQABAD5AAAAkgMAAAAA&#10;" strokecolor="black [3213]" strokeweight=".5pt">
                      <v:stroke endarrow="block" joinstyle="miter"/>
                    </v:shape>
                    <v:shape id="Straight Arrow Connector 75" o:spid="_x0000_s1052" type="#_x0000_t32" style="position:absolute;left:12227;top:20839;width:5740;height:414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BCx8QAAADbAAAADwAAAGRycy9kb3ducmV2LnhtbESP0WrCQBRE3wX/YbmCL6K7FmpK6ioi&#10;bUkpLTT6AZfsbRLM3k2zq4l/3y0IPg4zc4ZZbwfbiAt1vnasYblQIIgLZ2ouNRwPr/MnED4gG2wc&#10;k4YredhuxqM1psb1/E2XPJQiQtinqKEKoU2l9EVFFv3CtcTR+3GdxRBlV0rTYR/htpEPSq2kxZrj&#10;QoUt7SsqTvnZarAvb1kyzK6fM9v8HsyHV+9fQWk9nQy7ZxCBhnAP39qZ0ZA8wv+X+APk5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ELHxAAAANsAAAAPAAAAAAAAAAAA&#10;AAAAAKECAABkcnMvZG93bnJldi54bWxQSwUGAAAAAAQABAD5AAAAkgMAAAAA&#10;" strokecolor="black [3213]" strokeweight=".5pt">
                      <v:stroke endarrow="block" joinstyle="miter"/>
                    </v:shape>
                    <v:shape id="Straight Arrow Connector 76" o:spid="_x0000_s1053" type="#_x0000_t32" style="position:absolute;left:10526;top:18181;width:595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A2ssUAAADbAAAADwAAAGRycy9kb3ducmV2LnhtbESPQWvCQBSE7wX/w/IEb3WjgtroKqUg&#10;tnjRVFq9PbLPZDH7NmS3Jv333YLgcZiZb5jlurOVuFHjjWMFo2ECgjh32nCh4Pi5eZ6D8AFZY+WY&#10;FPySh/Wq97TEVLuWD3TLQiEihH2KCsoQ6lRKn5dk0Q9dTRy9i2sshiibQuoG2wi3lRwnyVRaNBwX&#10;SqzpraT8mv1YBfnx9P1Ce/Ol24mZbevdeTfJPpQa9LvXBYhAXXiE7+13rWA2hf8v8Q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UA2ssUAAADbAAAADwAAAAAAAAAA&#10;AAAAAAChAgAAZHJzL2Rvd25yZXYueG1sUEsFBgAAAAAEAAQA+QAAAJMDAAAAAA==&#10;" strokecolor="black [3213]" strokeweight=".5pt">
                      <v:stroke endarrow="block" joinstyle="miter"/>
                    </v:shape>
                    <v:shape id="Straight Arrow Connector 77" o:spid="_x0000_s1054" type="#_x0000_t32" style="position:absolute;left:32960;top:21371;width:5104;height:797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LS6MYAAADbAAAADwAAAGRycy9kb3ducmV2LnhtbESPQUsDMRSE70L/Q3iF3my2Sl1Zm5Yi&#10;Cj2UgqvYHp+b52Zx87ImaXfbX28EweMwM98wi9VgW3EiHxrHCmbTDARx5XTDtYK31+frexAhImts&#10;HZOCMwVYLUdXCyy06/mFTmWsRYJwKFCBibErpAyVIYth6jri5H06bzEm6WupPfYJblt5k2V30mLD&#10;acFgR4+Gqq/yaBUc9uWe9W7+vv1+cof89uJN/5ErNRkP6wcQkYb4H/5rb7SCPIffL+kHyO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i0ujGAAAA2wAAAA8AAAAAAAAA&#10;AAAAAAAAoQIAAGRycy9kb3ducmV2LnhtbFBLBQYAAAAABAAEAPkAAACUAwAAAAA=&#10;" strokecolor="black [3213]" strokeweight=".5pt">
                      <v:stroke endarrow="block" joinstyle="miter"/>
                    </v:shape>
                    <v:shape id="Straight Arrow Connector 78" o:spid="_x0000_s1055" type="#_x0000_t32" style="position:absolute;left:36150;top:18819;width:584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HtWcEAAADbAAAADwAAAGRycy9kb3ducmV2LnhtbERP3WrCMBS+F3yHcITdFE3cxSqdUUR0&#10;dIiD6R7g0Jy1Zc1JbTJt395cCF5+fP/LdW8bcaXO1441zGcKBHHhTM2lhp/zfroA4QOywcYxaRjI&#10;w3o1Hi0xM+7G33Q9hVLEEPYZaqhCaDMpfVGRRT9zLXHkfl1nMUTYldJ0eIvhtpGvSr1JizXHhgpb&#10;2lZU/J3+rQa7+8jTPhmOiW0uZ3Pw6vMrKK1fJv3mHUSgPjzFD3duNKRxbPwSf4Bc3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Ye1ZwQAAANsAAAAPAAAAAAAAAAAAAAAA&#10;AKECAABkcnMvZG93bnJldi54bWxQSwUGAAAAAAQABAD5AAAAjwMAAAAA&#10;" strokecolor="black [3213]" strokeweight=".5pt">
                      <v:stroke endarrow="block" joinstyle="miter"/>
                    </v:shape>
                    <v:shape id="Straight Arrow Connector 79" o:spid="_x0000_s1056" type="#_x0000_t32" style="position:absolute;left:34662;top:20839;width:6060;height:414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HjAcYAAADbAAAADwAAAGRycy9kb3ducmV2LnhtbESPQUsDMRSE74L/ITzBm81q0W3XpkVK&#10;BQ8idFvaHl83z83i5mWbxO7qrzeC4HGYmW+Y2WKwrTiTD41jBbejDARx5XTDtYLt5vlmAiJEZI2t&#10;Y1LwRQEW88uLGRba9bymcxlrkSAcClRgYuwKKUNlyGIYuY44ee/OW4xJ+lpqj32C21beZdmDtNhw&#10;WjDY0dJQ9VF+WgWHfbln/Xa/ez2t3CEff3vTH3Olrq+Gp0cQkYb4H/5rv2gF+RR+v6QfIO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Jx4wHGAAAA2wAAAA8AAAAAAAAA&#10;AAAAAAAAoQIAAGRycy9kb3ducmV2LnhtbFBLBQYAAAAABAAEAPkAAACUAwAAAAA=&#10;" strokecolor="black [3213]" strokeweight=".5pt">
                      <v:stroke endarrow="block" joinstyle="miter"/>
                    </v:shape>
                  </v:group>
                  <v:shape id="Straight Arrow Connector 80" o:spid="_x0000_s1057" type="#_x0000_t32" style="position:absolute;left:14247;top:22009;width:5635;height:72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KReMAAAADbAAAADwAAAGRycy9kb3ducmV2LnhtbERPzYrCMBC+C/sOYRa8yJroQaU2lWVR&#10;UURB3QcYmrEt20y6TdT69uYgePz4/tNFZ2txo9ZXjjWMhgoEce5MxYWG3/PqawbCB2SDtWPS8CAP&#10;i+yjl2Ji3J2PdDuFQsQQ9glqKENoEil9XpJFP3QNceQurrUYImwLaVq8x3Bby7FSE2mx4thQYkM/&#10;JeV/p6vVYJfrzbQbPPYDW/+fzc6r7SEorfuf3fccRKAuvMUv98ZomMX18Uv8ATJ7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vCkXjAAAAA2wAAAA8AAAAAAAAAAAAAAAAA&#10;oQIAAGRycy9kb3ducmV2LnhtbFBLBQYAAAAABAAEAPkAAACOAwAAAAA=&#10;" strokecolor="black [3213]" strokeweight=".5pt">
                    <v:stroke endarrow="block" joinstyle="miter"/>
                  </v:shape>
                </v:group>
                <v:rect id="Rectangle 1" o:spid="_x0000_s1058" style="position:absolute;top:29239;width:50823;height:39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Sn7MQA&#10;AADaAAAADwAAAGRycy9kb3ducmV2LnhtbESPQWvCQBSE74L/YXlCb7pJE2yJrhILQi8eqi2lt0f2&#10;mQSzb8PuNkn/vVso9DjMzDfMdj+ZTgzkfGtZQbpKQBBXVrdcK3i/HJfPIHxA1thZJgU/5GG/m8+2&#10;WGg78hsN51CLCGFfoIImhL6Q0lcNGfQr2xNH72qdwRClq6V2OEa46eRjkqylwZbjQoM9vTRU3c7f&#10;RgG7p+qCt+xTH09lnubrw9eHPCj1sJjKDYhAU/gP/7VftYIMfq/EGyB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0p+zEAAAA2gAAAA8AAAAAAAAAAAAAAAAAmAIAAGRycy9k&#10;b3ducmV2LnhtbFBLBQYAAAAABAAEAPUAAACJAwAAAAA=&#10;" fillcolor="white [3201]" stroked="f" strokeweight="1.5pt">
                  <v:textbox>
                    <w:txbxContent>
                      <w:p w:rsidR="002C7201" w:rsidRPr="00F43DC6" w:rsidRDefault="002C7201" w:rsidP="00D32430">
                        <w:pPr>
                          <w:spacing w:after="0"/>
                          <w:rPr>
                            <w:rFonts w:ascii="Times New Roman" w:hAnsi="Times New Roman" w:cs="Times New Roman"/>
                            <w:b/>
                            <w:bCs/>
                            <w:sz w:val="20"/>
                            <w:szCs w:val="20"/>
                          </w:rPr>
                        </w:pPr>
                        <w:r w:rsidRPr="00F43DC6">
                          <w:rPr>
                            <w:rFonts w:ascii="Times New Roman" w:hAnsi="Times New Roman" w:cs="Times New Roman"/>
                            <w:b/>
                            <w:bCs/>
                            <w:sz w:val="20"/>
                            <w:szCs w:val="20"/>
                          </w:rPr>
                          <w:t>Figure 01: Determinants of Post-Retirement Employment in Sri Lanka (Literature Based)</w:t>
                        </w:r>
                      </w:p>
                      <w:p w:rsidR="002C7201" w:rsidRPr="00F43DC6" w:rsidRDefault="002C7201" w:rsidP="00C42BCB">
                        <w:pPr>
                          <w:spacing w:after="0"/>
                          <w:jc w:val="center"/>
                          <w:rPr>
                            <w:rFonts w:ascii="Times New Roman" w:hAnsi="Times New Roman" w:cs="Times New Roman"/>
                            <w:bCs/>
                            <w:sz w:val="20"/>
                            <w:szCs w:val="20"/>
                          </w:rPr>
                        </w:pPr>
                        <w:r w:rsidRPr="00F43DC6">
                          <w:rPr>
                            <w:rFonts w:ascii="Times New Roman" w:hAnsi="Times New Roman" w:cs="Times New Roman"/>
                            <w:bCs/>
                            <w:sz w:val="20"/>
                            <w:szCs w:val="20"/>
                          </w:rPr>
                          <w:t>Source: Author</w:t>
                        </w:r>
                      </w:p>
                    </w:txbxContent>
                  </v:textbox>
                </v:rect>
                <w10:wrap type="topAndBottom" anchorx="margin"/>
              </v:group>
            </w:pict>
          </mc:Fallback>
        </mc:AlternateContent>
      </w:r>
      <w:r w:rsidR="009F07A9" w:rsidRPr="009F07A9">
        <w:rPr>
          <w:rFonts w:ascii="Times New Roman" w:hAnsi="Times New Roman" w:cs="Times New Roman"/>
          <w:sz w:val="20"/>
          <w:szCs w:val="20"/>
        </w:rPr>
        <w:t>Fourteen factors are identified which impact to post – retirement employment decisions of retired employees in Sri Lanka</w:t>
      </w:r>
    </w:p>
    <w:p w:rsidR="00B85A48" w:rsidRDefault="009F07A9" w:rsidP="009F07A9">
      <w:pPr>
        <w:spacing w:after="0" w:line="240" w:lineRule="auto"/>
        <w:jc w:val="both"/>
        <w:rPr>
          <w:rFonts w:ascii="Times New Roman" w:hAnsi="Times New Roman" w:cs="Times New Roman"/>
          <w:sz w:val="20"/>
          <w:szCs w:val="20"/>
        </w:rPr>
      </w:pPr>
      <w:r w:rsidRPr="009F07A9">
        <w:rPr>
          <w:rFonts w:ascii="Times New Roman" w:hAnsi="Times New Roman" w:cs="Times New Roman"/>
          <w:sz w:val="20"/>
          <w:szCs w:val="20"/>
        </w:rPr>
        <w:lastRenderedPageBreak/>
        <w:t>depending on the literature that available in both local and global contexts. Those are comprised into a diagram as per figure 01.</w:t>
      </w:r>
    </w:p>
    <w:p w:rsidR="00C42BCB" w:rsidRDefault="00C42BCB" w:rsidP="009F07A9">
      <w:pPr>
        <w:spacing w:after="0" w:line="240" w:lineRule="auto"/>
        <w:jc w:val="both"/>
        <w:rPr>
          <w:rFonts w:ascii="Times New Roman" w:hAnsi="Times New Roman" w:cs="Times New Roman"/>
          <w:sz w:val="20"/>
          <w:szCs w:val="20"/>
        </w:rPr>
      </w:pPr>
    </w:p>
    <w:p w:rsidR="009F07A9" w:rsidRDefault="009F07A9" w:rsidP="009F07A9">
      <w:pPr>
        <w:spacing w:after="0" w:line="240" w:lineRule="auto"/>
        <w:jc w:val="both"/>
        <w:rPr>
          <w:rFonts w:ascii="Times New Roman" w:hAnsi="Times New Roman" w:cs="Times New Roman"/>
          <w:b/>
          <w:sz w:val="24"/>
          <w:szCs w:val="24"/>
        </w:rPr>
      </w:pPr>
      <w:r w:rsidRPr="009F07A9">
        <w:rPr>
          <w:rFonts w:ascii="Times New Roman" w:hAnsi="Times New Roman" w:cs="Times New Roman"/>
          <w:b/>
          <w:sz w:val="24"/>
          <w:szCs w:val="24"/>
        </w:rPr>
        <w:t>Methods</w:t>
      </w:r>
    </w:p>
    <w:p w:rsidR="009F07A9" w:rsidRPr="00755618" w:rsidRDefault="009F07A9" w:rsidP="009F07A9">
      <w:pPr>
        <w:spacing w:after="0" w:line="240" w:lineRule="auto"/>
        <w:jc w:val="both"/>
        <w:rPr>
          <w:rFonts w:ascii="Times New Roman" w:hAnsi="Times New Roman" w:cs="Times New Roman"/>
          <w:b/>
          <w:sz w:val="16"/>
          <w:szCs w:val="24"/>
        </w:rPr>
      </w:pPr>
    </w:p>
    <w:p w:rsidR="003836B3" w:rsidRDefault="009F07A9" w:rsidP="009F07A9">
      <w:pPr>
        <w:spacing w:after="0" w:line="240" w:lineRule="auto"/>
        <w:jc w:val="both"/>
        <w:rPr>
          <w:rFonts w:ascii="Times New Roman" w:hAnsi="Times New Roman" w:cs="Times New Roman"/>
          <w:sz w:val="20"/>
          <w:szCs w:val="20"/>
        </w:rPr>
      </w:pPr>
      <w:r w:rsidRPr="009F07A9">
        <w:rPr>
          <w:rFonts w:ascii="Times New Roman" w:hAnsi="Times New Roman" w:cs="Times New Roman"/>
          <w:sz w:val="20"/>
          <w:szCs w:val="20"/>
        </w:rPr>
        <w:t xml:space="preserve">Quantitative approach was selected as the approach of the current study and it is deemed as an exploratory research work since the involvement in a factor exploration. Exploratory study should be undertaken when not much information or awareness about the research purpose </w:t>
      </w:r>
      <w:sdt>
        <w:sdtPr>
          <w:rPr>
            <w:rFonts w:ascii="Times New Roman" w:hAnsi="Times New Roman" w:cs="Times New Roman"/>
            <w:sz w:val="20"/>
            <w:szCs w:val="20"/>
          </w:rPr>
          <w:id w:val="-7302022"/>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CITATION Sek03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(Sekaran, 2010)</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Severe inadequacy of extended literature in the recent academia creates the research gap and it leads this attempt to further carry out as an exploratory study. The research problem is </w:t>
      </w:r>
      <w:r w:rsidRPr="009F07A9">
        <w:rPr>
          <w:rFonts w:ascii="Times New Roman" w:hAnsi="Times New Roman" w:cs="Times New Roman"/>
          <w:b/>
          <w:sz w:val="20"/>
          <w:szCs w:val="20"/>
        </w:rPr>
        <w:t>“what are the sig</w:t>
      </w:r>
      <w:r w:rsidR="00C42BCB">
        <w:rPr>
          <w:rFonts w:ascii="Times New Roman" w:hAnsi="Times New Roman" w:cs="Times New Roman"/>
          <w:b/>
          <w:sz w:val="20"/>
          <w:szCs w:val="20"/>
        </w:rPr>
        <w:t>nificant determinants of post-</w:t>
      </w:r>
      <w:r w:rsidRPr="009F07A9">
        <w:rPr>
          <w:rFonts w:ascii="Times New Roman" w:hAnsi="Times New Roman" w:cs="Times New Roman"/>
          <w:b/>
          <w:sz w:val="20"/>
          <w:szCs w:val="20"/>
        </w:rPr>
        <w:t>retirement employment in Sri Lanka?”</w:t>
      </w:r>
      <w:r w:rsidRPr="009F07A9">
        <w:rPr>
          <w:rFonts w:ascii="Times New Roman" w:hAnsi="Times New Roman" w:cs="Times New Roman"/>
          <w:sz w:val="20"/>
          <w:szCs w:val="20"/>
        </w:rPr>
        <w:t xml:space="preserve"> Unit of analysis is the individual (a post – retired employee) and launched as a field study. This is considered as a cross sectional study because it entails one – shot data collection. </w:t>
      </w:r>
    </w:p>
    <w:p w:rsidR="009F07A9" w:rsidRDefault="009F07A9" w:rsidP="009F07A9">
      <w:pPr>
        <w:spacing w:after="0" w:line="240" w:lineRule="auto"/>
        <w:jc w:val="both"/>
        <w:rPr>
          <w:rFonts w:ascii="Times New Roman" w:hAnsi="Times New Roman" w:cs="Times New Roman"/>
          <w:b/>
          <w:bCs/>
          <w:sz w:val="20"/>
          <w:szCs w:val="20"/>
        </w:rPr>
      </w:pPr>
      <w:r w:rsidRPr="009F07A9">
        <w:rPr>
          <w:rFonts w:ascii="Times New Roman" w:hAnsi="Times New Roman" w:cs="Times New Roman"/>
          <w:sz w:val="20"/>
          <w:szCs w:val="20"/>
        </w:rPr>
        <w:lastRenderedPageBreak/>
        <w:t>Since thi</w:t>
      </w:r>
      <w:r w:rsidR="00C42BCB">
        <w:rPr>
          <w:rFonts w:ascii="Times New Roman" w:hAnsi="Times New Roman" w:cs="Times New Roman"/>
          <w:sz w:val="20"/>
          <w:szCs w:val="20"/>
        </w:rPr>
        <w:t>s is a quantitative study, mono–</w:t>
      </w:r>
      <w:r w:rsidRPr="009F07A9">
        <w:rPr>
          <w:rFonts w:ascii="Times New Roman" w:hAnsi="Times New Roman" w:cs="Times New Roman"/>
          <w:sz w:val="20"/>
          <w:szCs w:val="20"/>
        </w:rPr>
        <w:t xml:space="preserve">method was applied </w:t>
      </w:r>
      <w:sdt>
        <w:sdtPr>
          <w:rPr>
            <w:rFonts w:ascii="Times New Roman" w:hAnsi="Times New Roman" w:cs="Times New Roman"/>
            <w:sz w:val="20"/>
            <w:szCs w:val="20"/>
          </w:rPr>
          <w:id w:val="947433396"/>
          <w:citation/>
        </w:sdtPr>
        <w:sdtEndPr/>
        <w:sdtContent>
          <w:r w:rsidRPr="009F07A9">
            <w:rPr>
              <w:rFonts w:ascii="Times New Roman" w:hAnsi="Times New Roman" w:cs="Times New Roman"/>
              <w:sz w:val="20"/>
              <w:szCs w:val="20"/>
            </w:rPr>
            <w:fldChar w:fldCharType="begin"/>
          </w:r>
          <w:r w:rsidRPr="009F07A9">
            <w:rPr>
              <w:rFonts w:ascii="Times New Roman" w:hAnsi="Times New Roman" w:cs="Times New Roman"/>
              <w:sz w:val="20"/>
              <w:szCs w:val="20"/>
            </w:rPr>
            <w:instrText xml:space="preserve"> CITATION Sau09 \l 1033 </w:instrText>
          </w:r>
          <w:r w:rsidRPr="009F07A9">
            <w:rPr>
              <w:rFonts w:ascii="Times New Roman" w:hAnsi="Times New Roman" w:cs="Times New Roman"/>
              <w:sz w:val="20"/>
              <w:szCs w:val="20"/>
            </w:rPr>
            <w:fldChar w:fldCharType="separate"/>
          </w:r>
          <w:r w:rsidRPr="009F07A9">
            <w:rPr>
              <w:rFonts w:ascii="Times New Roman" w:hAnsi="Times New Roman" w:cs="Times New Roman"/>
              <w:noProof/>
              <w:sz w:val="20"/>
              <w:szCs w:val="20"/>
            </w:rPr>
            <w:t>(Saunders, Lewis, &amp; Thornhill, 2009)</w:t>
          </w:r>
          <w:r w:rsidRPr="009F07A9">
            <w:rPr>
              <w:rFonts w:ascii="Times New Roman" w:hAnsi="Times New Roman" w:cs="Times New Roman"/>
              <w:sz w:val="20"/>
              <w:szCs w:val="20"/>
            </w:rPr>
            <w:fldChar w:fldCharType="end"/>
          </w:r>
        </w:sdtContent>
      </w:sdt>
      <w:r w:rsidRPr="009F07A9">
        <w:rPr>
          <w:rFonts w:ascii="Times New Roman" w:hAnsi="Times New Roman" w:cs="Times New Roman"/>
          <w:sz w:val="20"/>
          <w:szCs w:val="20"/>
        </w:rPr>
        <w:t xml:space="preserve"> because only single quantitative data collection technique was adopted. That is questionnaire method. No standard questionnaires were available to the current study so that self – administered questionnaire was taken for the data collection after ensuring reliability and validity. </w:t>
      </w:r>
      <w:r w:rsidRPr="009F07A9">
        <w:rPr>
          <w:rFonts w:ascii="Times New Roman" w:hAnsi="Times New Roman" w:cs="Times New Roman"/>
          <w:b/>
          <w:bCs/>
          <w:sz w:val="20"/>
          <w:szCs w:val="20"/>
        </w:rPr>
        <w:t>There is a high scholarly involvement (research supervisor, research coordinator and other academicians) in building up the questionnaire and amended it to theorize for this study purpose.</w:t>
      </w:r>
    </w:p>
    <w:p w:rsidR="009F07A9" w:rsidRDefault="009F07A9" w:rsidP="009F07A9">
      <w:pPr>
        <w:spacing w:after="0" w:line="240" w:lineRule="auto"/>
        <w:jc w:val="both"/>
        <w:rPr>
          <w:rFonts w:ascii="Times New Roman" w:hAnsi="Times New Roman" w:cs="Times New Roman"/>
          <w:b/>
          <w:bCs/>
          <w:sz w:val="20"/>
          <w:szCs w:val="20"/>
        </w:rPr>
      </w:pPr>
    </w:p>
    <w:p w:rsidR="009F07A9" w:rsidRDefault="002B183F" w:rsidP="009F07A9">
      <w:pPr>
        <w:spacing w:after="0" w:line="240" w:lineRule="auto"/>
        <w:jc w:val="both"/>
        <w:rPr>
          <w:rFonts w:ascii="Times New Roman" w:hAnsi="Times New Roman" w:cs="Times New Roman"/>
          <w:b/>
          <w:sz w:val="20"/>
          <w:szCs w:val="20"/>
        </w:rPr>
      </w:pPr>
      <w:r w:rsidRPr="002B183F">
        <w:rPr>
          <w:rFonts w:ascii="Times New Roman" w:hAnsi="Times New Roman" w:cs="Times New Roman"/>
          <w:b/>
          <w:sz w:val="20"/>
          <w:szCs w:val="20"/>
        </w:rPr>
        <w:t>Sample</w:t>
      </w:r>
    </w:p>
    <w:p w:rsidR="002B183F" w:rsidRDefault="002B183F" w:rsidP="009F07A9">
      <w:pPr>
        <w:spacing w:after="0" w:line="240" w:lineRule="auto"/>
        <w:jc w:val="both"/>
        <w:rPr>
          <w:rFonts w:ascii="Times New Roman" w:hAnsi="Times New Roman" w:cs="Times New Roman"/>
          <w:b/>
          <w:sz w:val="20"/>
          <w:szCs w:val="20"/>
        </w:rPr>
      </w:pPr>
    </w:p>
    <w:p w:rsidR="00755618" w:rsidRPr="002B183F" w:rsidRDefault="002B183F" w:rsidP="002B183F">
      <w:pPr>
        <w:spacing w:after="0" w:line="240" w:lineRule="auto"/>
        <w:jc w:val="both"/>
        <w:rPr>
          <w:rFonts w:ascii="Times New Roman" w:hAnsi="Times New Roman" w:cs="Times New Roman"/>
          <w:sz w:val="20"/>
          <w:szCs w:val="20"/>
        </w:rPr>
      </w:pPr>
      <w:r w:rsidRPr="002B183F">
        <w:rPr>
          <w:rFonts w:ascii="Times New Roman" w:hAnsi="Times New Roman" w:cs="Times New Roman"/>
          <w:sz w:val="20"/>
          <w:szCs w:val="20"/>
        </w:rPr>
        <w:t xml:space="preserve">Population of the current study is unknown. Because no acceptable statistics available to ascertain the data of the population which is entire post – retirement community in Sri Lanka. Therefore </w:t>
      </w:r>
      <w:r w:rsidRPr="002B183F">
        <w:rPr>
          <w:rFonts w:ascii="Times New Roman" w:hAnsi="Times New Roman" w:cs="Times New Roman"/>
          <w:b/>
          <w:bCs/>
          <w:sz w:val="20"/>
          <w:szCs w:val="20"/>
        </w:rPr>
        <w:t>convenience sampling method</w:t>
      </w:r>
      <w:r w:rsidRPr="002B183F">
        <w:rPr>
          <w:rFonts w:ascii="Times New Roman" w:hAnsi="Times New Roman" w:cs="Times New Roman"/>
          <w:sz w:val="20"/>
          <w:szCs w:val="20"/>
        </w:rPr>
        <w:t xml:space="preserve"> was applied as a non – probabilistic sampling technique. The sample demarcated only to 97 respondents with ensuring 69.3% response rate. There were no standard measurements for this domain of study in the literature therefore had to come up with a self-made questionnaire. Pilot survey was launched and Reliability and validity were ensured. Cronbach’s Alpha value was 0.745 which ensures the reliability and KMO measure of sample adequacy was 0.569 which ensures the validity. The sample size for the pilot survey is 25 and the current study is carried out further since reliability and the validity of the sample was clearly ensured at the pilot survey.</w:t>
      </w:r>
    </w:p>
    <w:p w:rsidR="002B183F" w:rsidRDefault="002B183F" w:rsidP="009F07A9">
      <w:pPr>
        <w:spacing w:after="0" w:line="240" w:lineRule="auto"/>
        <w:jc w:val="both"/>
        <w:rPr>
          <w:rFonts w:ascii="Times New Roman" w:hAnsi="Times New Roman" w:cs="Times New Roman"/>
          <w:b/>
          <w:sz w:val="20"/>
          <w:szCs w:val="20"/>
        </w:rPr>
      </w:pPr>
    </w:p>
    <w:p w:rsidR="002B183F" w:rsidRDefault="002B183F" w:rsidP="009F07A9">
      <w:pPr>
        <w:spacing w:after="0" w:line="240" w:lineRule="auto"/>
        <w:jc w:val="both"/>
        <w:rPr>
          <w:rFonts w:ascii="Times New Roman" w:hAnsi="Times New Roman" w:cs="Times New Roman"/>
          <w:b/>
          <w:sz w:val="24"/>
          <w:szCs w:val="24"/>
        </w:rPr>
      </w:pPr>
      <w:r w:rsidRPr="002B183F">
        <w:rPr>
          <w:rFonts w:ascii="Times New Roman" w:hAnsi="Times New Roman" w:cs="Times New Roman"/>
          <w:b/>
          <w:sz w:val="24"/>
          <w:szCs w:val="24"/>
        </w:rPr>
        <w:t>Findings and Discussion</w:t>
      </w:r>
    </w:p>
    <w:p w:rsidR="00755618" w:rsidRPr="00755618" w:rsidRDefault="00755618" w:rsidP="009F07A9">
      <w:pPr>
        <w:spacing w:after="0" w:line="240" w:lineRule="auto"/>
        <w:jc w:val="both"/>
        <w:rPr>
          <w:rFonts w:ascii="Times New Roman" w:hAnsi="Times New Roman" w:cs="Times New Roman"/>
          <w:b/>
          <w:sz w:val="12"/>
          <w:szCs w:val="24"/>
        </w:rPr>
      </w:pPr>
    </w:p>
    <w:p w:rsidR="002B183F" w:rsidRPr="002B183F" w:rsidRDefault="002B183F" w:rsidP="002B183F">
      <w:pPr>
        <w:spacing w:after="0" w:line="240" w:lineRule="auto"/>
        <w:jc w:val="both"/>
        <w:rPr>
          <w:rFonts w:ascii="Times New Roman" w:hAnsi="Times New Roman" w:cs="Times New Roman"/>
          <w:sz w:val="20"/>
          <w:szCs w:val="20"/>
        </w:rPr>
      </w:pPr>
      <w:r w:rsidRPr="002B183F">
        <w:rPr>
          <w:rFonts w:ascii="Times New Roman" w:hAnsi="Times New Roman" w:cs="Times New Roman"/>
          <w:sz w:val="20"/>
          <w:szCs w:val="20"/>
        </w:rPr>
        <w:t xml:space="preserve">It is ascertained that average retirement age in Sri Lanka gender wise is 62 years for male employees and 61 for female employees. Public sector confirms the highest employable age that is 63 years. It is 62 years in the private sector and 61 years is the average retirement age in both non – </w:t>
      </w:r>
      <w:r w:rsidRPr="002B183F">
        <w:rPr>
          <w:rFonts w:ascii="Times New Roman" w:hAnsi="Times New Roman" w:cs="Times New Roman"/>
          <w:sz w:val="20"/>
          <w:szCs w:val="20"/>
        </w:rPr>
        <w:lastRenderedPageBreak/>
        <w:t>government and semi – government sectors. Sample depicts the male dominancy in post – retirement employment because female representation of the sample only demarcates to 33% (only male and female are default genders).</w:t>
      </w:r>
    </w:p>
    <w:p w:rsidR="002B183F" w:rsidRPr="002B183F" w:rsidRDefault="002B183F" w:rsidP="002B183F">
      <w:pPr>
        <w:spacing w:after="0" w:line="240" w:lineRule="auto"/>
        <w:jc w:val="both"/>
        <w:rPr>
          <w:rFonts w:ascii="Times New Roman" w:hAnsi="Times New Roman" w:cs="Times New Roman"/>
          <w:sz w:val="20"/>
          <w:szCs w:val="20"/>
        </w:rPr>
      </w:pPr>
    </w:p>
    <w:p w:rsidR="002B183F" w:rsidRPr="002B183F" w:rsidRDefault="002B183F" w:rsidP="002B183F">
      <w:pPr>
        <w:spacing w:after="0" w:line="240" w:lineRule="auto"/>
        <w:jc w:val="both"/>
        <w:rPr>
          <w:rFonts w:ascii="Times New Roman" w:hAnsi="Times New Roman" w:cs="Times New Roman"/>
          <w:sz w:val="20"/>
          <w:szCs w:val="20"/>
        </w:rPr>
      </w:pPr>
      <w:r w:rsidRPr="002B183F">
        <w:rPr>
          <w:rFonts w:ascii="Times New Roman" w:hAnsi="Times New Roman" w:cs="Times New Roman"/>
          <w:sz w:val="20"/>
          <w:szCs w:val="20"/>
        </w:rPr>
        <w:t>81.4% of post – retired employees are married and 12.4% are widowed. 51.5% of the respondents are currently living in urban areas in Sri Lanka and 41.2% located their residencies in semi – urban areas in the country. Only 7.2% are living in rural areas. 65% of the sample represent Colombo and Gampaha districts. 78.4% are heads of families and not in the depending capacity. Therefore majority of post – retired employees still belong family commitments. 34% of the families have 4 members including the head where post – retired employees bear the headship. There are only 3 members in 32% families in the sample.</w:t>
      </w:r>
    </w:p>
    <w:p w:rsidR="002B183F" w:rsidRPr="002B183F" w:rsidRDefault="002B183F" w:rsidP="002B183F">
      <w:pPr>
        <w:spacing w:after="0" w:line="240" w:lineRule="auto"/>
        <w:jc w:val="both"/>
        <w:rPr>
          <w:rFonts w:ascii="Times New Roman" w:hAnsi="Times New Roman" w:cs="Times New Roman"/>
          <w:sz w:val="20"/>
          <w:szCs w:val="20"/>
        </w:rPr>
      </w:pPr>
    </w:p>
    <w:p w:rsidR="002B183F" w:rsidRPr="002B183F" w:rsidRDefault="002B183F" w:rsidP="002B183F">
      <w:pPr>
        <w:spacing w:after="0" w:line="240" w:lineRule="auto"/>
        <w:jc w:val="both"/>
        <w:rPr>
          <w:rFonts w:ascii="Times New Roman" w:hAnsi="Times New Roman" w:cs="Times New Roman"/>
          <w:sz w:val="20"/>
          <w:szCs w:val="20"/>
        </w:rPr>
      </w:pPr>
      <w:r w:rsidRPr="002B183F">
        <w:rPr>
          <w:rFonts w:ascii="Times New Roman" w:hAnsi="Times New Roman" w:cs="Times New Roman"/>
          <w:sz w:val="20"/>
          <w:szCs w:val="20"/>
        </w:rPr>
        <w:t>66% of post – retired employees are currently employed in the private sector and 21.6% in the public sector. Non – government sector records the lowest post – retirement employability in Sri Lanka demarcating to 4.1%. 56.7% of post – retired employees do not continue their careers with the same employer that they were employing before the retirement. 40.2% which is the majority enables within their jobs as permanent employees and 35.1% are employed on contract employees. 18.6% are temporary employees.</w:t>
      </w:r>
    </w:p>
    <w:p w:rsidR="002B183F" w:rsidRPr="002B183F" w:rsidRDefault="002B183F" w:rsidP="002B183F">
      <w:pPr>
        <w:spacing w:after="0" w:line="240" w:lineRule="auto"/>
        <w:jc w:val="both"/>
        <w:rPr>
          <w:rFonts w:ascii="Times New Roman" w:hAnsi="Times New Roman" w:cs="Times New Roman"/>
          <w:sz w:val="20"/>
          <w:szCs w:val="20"/>
        </w:rPr>
      </w:pPr>
    </w:p>
    <w:p w:rsidR="002B183F" w:rsidRDefault="002B183F" w:rsidP="002B183F">
      <w:pPr>
        <w:spacing w:after="0" w:line="240" w:lineRule="auto"/>
        <w:jc w:val="both"/>
        <w:rPr>
          <w:rFonts w:ascii="Times New Roman" w:hAnsi="Times New Roman" w:cs="Times New Roman"/>
          <w:sz w:val="20"/>
          <w:szCs w:val="20"/>
        </w:rPr>
      </w:pPr>
      <w:r w:rsidRPr="002B183F">
        <w:rPr>
          <w:rFonts w:ascii="Times New Roman" w:hAnsi="Times New Roman" w:cs="Times New Roman"/>
          <w:sz w:val="20"/>
          <w:szCs w:val="20"/>
        </w:rPr>
        <w:t>74.2% of post – retired employees are full – time workers treating as the main commitment in their post – retired life. 11.3% employees are part time workers and 7.2% are flex workers. Work capacity wise, 37.1% are currently employing in managerial positions in every sector. Same percentage is employed in operational level and 16.5% employed as executives. Only 9.3% are working in technical side jobs.</w:t>
      </w:r>
    </w:p>
    <w:p w:rsidR="00D27298" w:rsidRDefault="003836B3" w:rsidP="002B183F">
      <w:pPr>
        <w:spacing w:after="0" w:line="240" w:lineRule="auto"/>
        <w:jc w:val="both"/>
        <w:rPr>
          <w:rFonts w:ascii="Times New Roman" w:hAnsi="Times New Roman" w:cs="Times New Roman"/>
          <w:sz w:val="20"/>
          <w:szCs w:val="20"/>
        </w:rPr>
      </w:pPr>
      <w:r>
        <w:rPr>
          <w:noProof/>
        </w:rPr>
        <w:lastRenderedPageBreak/>
        <mc:AlternateContent>
          <mc:Choice Requires="wps">
            <w:drawing>
              <wp:anchor distT="0" distB="0" distL="114300" distR="114300" simplePos="0" relativeHeight="251665408" behindDoc="0" locked="0" layoutInCell="1" allowOverlap="1" wp14:anchorId="541CFCFF" wp14:editId="7722B07B">
                <wp:simplePos x="0" y="0"/>
                <wp:positionH relativeFrom="column">
                  <wp:posOffset>239065</wp:posOffset>
                </wp:positionH>
                <wp:positionV relativeFrom="paragraph">
                  <wp:posOffset>5258892</wp:posOffset>
                </wp:positionV>
                <wp:extent cx="4381500" cy="1647825"/>
                <wp:effectExtent l="0" t="0" r="0" b="0"/>
                <wp:wrapTopAndBottom/>
                <wp:docPr id="7" name="Rectangle 7"/>
                <wp:cNvGraphicFramePr/>
                <a:graphic xmlns:a="http://schemas.openxmlformats.org/drawingml/2006/main">
                  <a:graphicData uri="http://schemas.microsoft.com/office/word/2010/wordprocessingShape">
                    <wps:wsp>
                      <wps:cNvSpPr/>
                      <wps:spPr>
                        <a:xfrm>
                          <a:off x="0" y="0"/>
                          <a:ext cx="4381500" cy="1647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C7201" w:rsidRPr="00702C91" w:rsidRDefault="002C7201" w:rsidP="00A066BD">
                            <w:pPr>
                              <w:pStyle w:val="Caption"/>
                              <w:jc w:val="center"/>
                              <w:rPr>
                                <w:rFonts w:ascii="Times New Roman" w:hAnsi="Times New Roman" w:cs="Times New Roman"/>
                                <w:b/>
                                <w:bCs/>
                                <w:i w:val="0"/>
                                <w:iCs w:val="0"/>
                                <w:color w:val="000000" w:themeColor="text1"/>
                                <w:sz w:val="20"/>
                                <w:szCs w:val="20"/>
                              </w:rPr>
                            </w:pPr>
                            <w:r w:rsidRPr="00702C91">
                              <w:rPr>
                                <w:rFonts w:ascii="Times New Roman" w:hAnsi="Times New Roman" w:cs="Times New Roman"/>
                                <w:b/>
                                <w:bCs/>
                                <w:i w:val="0"/>
                                <w:iCs w:val="0"/>
                                <w:color w:val="000000" w:themeColor="text1"/>
                                <w:sz w:val="20"/>
                                <w:szCs w:val="20"/>
                              </w:rPr>
                              <w:t xml:space="preserve">Table </w:t>
                            </w:r>
                            <w:r w:rsidRPr="00702C91">
                              <w:rPr>
                                <w:rFonts w:ascii="Times New Roman" w:hAnsi="Times New Roman" w:cs="Times New Roman"/>
                                <w:b/>
                                <w:bCs/>
                                <w:i w:val="0"/>
                                <w:iCs w:val="0"/>
                                <w:color w:val="000000" w:themeColor="text1"/>
                                <w:sz w:val="20"/>
                                <w:szCs w:val="20"/>
                              </w:rPr>
                              <w:fldChar w:fldCharType="begin"/>
                            </w:r>
                            <w:r w:rsidRPr="00702C91">
                              <w:rPr>
                                <w:rFonts w:ascii="Times New Roman" w:hAnsi="Times New Roman" w:cs="Times New Roman"/>
                                <w:b/>
                                <w:bCs/>
                                <w:i w:val="0"/>
                                <w:iCs w:val="0"/>
                                <w:color w:val="000000" w:themeColor="text1"/>
                                <w:sz w:val="20"/>
                                <w:szCs w:val="20"/>
                              </w:rPr>
                              <w:instrText xml:space="preserve"> SEQ Table \* ARABIC </w:instrText>
                            </w:r>
                            <w:r w:rsidRPr="00702C91">
                              <w:rPr>
                                <w:rFonts w:ascii="Times New Roman" w:hAnsi="Times New Roman" w:cs="Times New Roman"/>
                                <w:b/>
                                <w:bCs/>
                                <w:i w:val="0"/>
                                <w:iCs w:val="0"/>
                                <w:color w:val="000000" w:themeColor="text1"/>
                                <w:sz w:val="20"/>
                                <w:szCs w:val="20"/>
                              </w:rPr>
                              <w:fldChar w:fldCharType="separate"/>
                            </w:r>
                            <w:r w:rsidRPr="00702C91">
                              <w:rPr>
                                <w:rFonts w:ascii="Times New Roman" w:hAnsi="Times New Roman" w:cs="Times New Roman"/>
                                <w:b/>
                                <w:bCs/>
                                <w:i w:val="0"/>
                                <w:iCs w:val="0"/>
                                <w:noProof/>
                                <w:color w:val="000000" w:themeColor="text1"/>
                                <w:sz w:val="20"/>
                                <w:szCs w:val="20"/>
                              </w:rPr>
                              <w:t>3</w:t>
                            </w:r>
                            <w:r w:rsidRPr="00702C91">
                              <w:rPr>
                                <w:rFonts w:ascii="Times New Roman" w:hAnsi="Times New Roman" w:cs="Times New Roman"/>
                                <w:b/>
                                <w:bCs/>
                                <w:i w:val="0"/>
                                <w:iCs w:val="0"/>
                                <w:color w:val="000000" w:themeColor="text1"/>
                                <w:sz w:val="20"/>
                                <w:szCs w:val="20"/>
                              </w:rPr>
                              <w:fldChar w:fldCharType="end"/>
                            </w:r>
                            <w:r w:rsidRPr="00702C91">
                              <w:rPr>
                                <w:rFonts w:ascii="Times New Roman" w:hAnsi="Times New Roman" w:cs="Times New Roman"/>
                                <w:b/>
                                <w:bCs/>
                                <w:i w:val="0"/>
                                <w:iCs w:val="0"/>
                                <w:color w:val="000000" w:themeColor="text1"/>
                                <w:sz w:val="20"/>
                                <w:szCs w:val="20"/>
                              </w:rPr>
                              <w:t>: Validity of the Sample of the Study</w:t>
                            </w:r>
                          </w:p>
                          <w:tbl>
                            <w:tblPr>
                              <w:tblW w:w="6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67"/>
                              <w:gridCol w:w="3017"/>
                              <w:gridCol w:w="1024"/>
                            </w:tblGrid>
                            <w:tr w:rsidR="002C7201" w:rsidRPr="00702C91" w:rsidTr="00646867">
                              <w:trPr>
                                <w:cantSplit/>
                                <w:trHeight w:val="343"/>
                              </w:trPr>
                              <w:tc>
                                <w:tcPr>
                                  <w:tcW w:w="5584" w:type="dxa"/>
                                  <w:gridSpan w:val="2"/>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Kaiser-Meyer-Olkin Measure of Sampling Adequacy.</w:t>
                                  </w:r>
                                </w:p>
                              </w:tc>
                              <w:tc>
                                <w:tcPr>
                                  <w:tcW w:w="1024"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0.768</w:t>
                                  </w:r>
                                </w:p>
                              </w:tc>
                            </w:tr>
                            <w:tr w:rsidR="002C7201" w:rsidRPr="00702C91" w:rsidTr="00646867">
                              <w:trPr>
                                <w:cantSplit/>
                                <w:trHeight w:val="343"/>
                              </w:trPr>
                              <w:tc>
                                <w:tcPr>
                                  <w:tcW w:w="2567" w:type="dxa"/>
                                  <w:vMerge w:val="restart"/>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Bartlett's Test of Sphericity</w:t>
                                  </w:r>
                                </w:p>
                              </w:tc>
                              <w:tc>
                                <w:tcPr>
                                  <w:tcW w:w="3017"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Approx. Chi-Square</w:t>
                                  </w:r>
                                </w:p>
                              </w:tc>
                              <w:tc>
                                <w:tcPr>
                                  <w:tcW w:w="1024"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307.690</w:t>
                                  </w:r>
                                </w:p>
                              </w:tc>
                            </w:tr>
                            <w:tr w:rsidR="002C7201" w:rsidRPr="00702C91" w:rsidTr="00646867">
                              <w:trPr>
                                <w:cantSplit/>
                                <w:trHeight w:val="360"/>
                              </w:trPr>
                              <w:tc>
                                <w:tcPr>
                                  <w:tcW w:w="2567" w:type="dxa"/>
                                  <w:vMerge/>
                                  <w:shd w:val="clear" w:color="auto" w:fill="FFFFFF"/>
                                </w:tcPr>
                                <w:p w:rsidR="002C7201" w:rsidRPr="00702C91" w:rsidRDefault="002C7201" w:rsidP="00646867">
                                  <w:pPr>
                                    <w:autoSpaceDE w:val="0"/>
                                    <w:autoSpaceDN w:val="0"/>
                                    <w:adjustRightInd w:val="0"/>
                                    <w:spacing w:after="120" w:line="240" w:lineRule="auto"/>
                                    <w:rPr>
                                      <w:rFonts w:ascii="Times New Roman" w:hAnsi="Times New Roman" w:cs="Times New Roman"/>
                                      <w:color w:val="000000"/>
                                      <w:sz w:val="20"/>
                                      <w:szCs w:val="20"/>
                                    </w:rPr>
                                  </w:pPr>
                                </w:p>
                              </w:tc>
                              <w:tc>
                                <w:tcPr>
                                  <w:tcW w:w="3017"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df</w:t>
                                  </w:r>
                                </w:p>
                              </w:tc>
                              <w:tc>
                                <w:tcPr>
                                  <w:tcW w:w="1024"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36</w:t>
                                  </w:r>
                                </w:p>
                              </w:tc>
                            </w:tr>
                            <w:tr w:rsidR="002C7201" w:rsidRPr="00702C91" w:rsidTr="00646867">
                              <w:trPr>
                                <w:cantSplit/>
                                <w:trHeight w:val="360"/>
                              </w:trPr>
                              <w:tc>
                                <w:tcPr>
                                  <w:tcW w:w="2567" w:type="dxa"/>
                                  <w:vMerge/>
                                  <w:shd w:val="clear" w:color="auto" w:fill="FFFFFF"/>
                                </w:tcPr>
                                <w:p w:rsidR="002C7201" w:rsidRPr="00702C91" w:rsidRDefault="002C7201" w:rsidP="00646867">
                                  <w:pPr>
                                    <w:autoSpaceDE w:val="0"/>
                                    <w:autoSpaceDN w:val="0"/>
                                    <w:adjustRightInd w:val="0"/>
                                    <w:spacing w:after="120" w:line="240" w:lineRule="auto"/>
                                    <w:rPr>
                                      <w:rFonts w:ascii="Times New Roman" w:hAnsi="Times New Roman" w:cs="Times New Roman"/>
                                      <w:color w:val="000000"/>
                                      <w:sz w:val="20"/>
                                      <w:szCs w:val="20"/>
                                    </w:rPr>
                                  </w:pPr>
                                </w:p>
                              </w:tc>
                              <w:tc>
                                <w:tcPr>
                                  <w:tcW w:w="3017"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Sig.</w:t>
                                  </w:r>
                                </w:p>
                              </w:tc>
                              <w:tc>
                                <w:tcPr>
                                  <w:tcW w:w="1024"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0.000</w:t>
                                  </w:r>
                                </w:p>
                              </w:tc>
                            </w:tr>
                          </w:tbl>
                          <w:p w:rsidR="002C7201" w:rsidRPr="00702C91" w:rsidRDefault="002C7201" w:rsidP="00A066BD">
                            <w:pPr>
                              <w:spacing w:after="0" w:line="360" w:lineRule="auto"/>
                              <w:jc w:val="center"/>
                              <w:rPr>
                                <w:rFonts w:ascii="Times New Roman" w:hAnsi="Times New Roman" w:cs="Times New Roman"/>
                                <w:color w:val="000000" w:themeColor="text1"/>
                                <w:sz w:val="20"/>
                                <w:szCs w:val="20"/>
                              </w:rPr>
                            </w:pPr>
                            <w:r w:rsidRPr="00702C91">
                              <w:rPr>
                                <w:rFonts w:ascii="Times New Roman" w:hAnsi="Times New Roman" w:cs="Times New Roman"/>
                                <w:color w:val="000000" w:themeColor="text1"/>
                                <w:sz w:val="20"/>
                                <w:szCs w:val="20"/>
                              </w:rPr>
                              <w:t>Source: Survey Data (2017)</w:t>
                            </w:r>
                          </w:p>
                          <w:p w:rsidR="002C7201" w:rsidRPr="00123269" w:rsidRDefault="002C7201" w:rsidP="00010B27">
                            <w:pPr>
                              <w:rPr>
                                <w:lang w:bidi="si-LK"/>
                              </w:rPr>
                            </w:pPr>
                          </w:p>
                          <w:p w:rsidR="002C7201" w:rsidRPr="00123269" w:rsidRDefault="002C7201" w:rsidP="00010B27">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1CFCFF" id="Rectangle 7" o:spid="_x0000_s1059" style="position:absolute;left:0;text-align:left;margin-left:18.8pt;margin-top:414.1pt;width:345pt;height:129.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" filled="f" stroked="f" strokeweight="1pt">
                <v:textbox>
                  <w:txbxContent>
                    <w:p w:rsidR="002C7201" w:rsidRPr="00702C91" w:rsidRDefault="002C7201" w:rsidP="00A066BD">
                      <w:pPr>
                        <w:pStyle w:val="Caption"/>
                        <w:jc w:val="center"/>
                        <w:rPr>
                          <w:rFonts w:ascii="Times New Roman" w:hAnsi="Times New Roman" w:cs="Times New Roman"/>
                          <w:b/>
                          <w:bCs/>
                          <w:i w:val="0"/>
                          <w:iCs w:val="0"/>
                          <w:color w:val="000000" w:themeColor="text1"/>
                          <w:sz w:val="20"/>
                          <w:szCs w:val="20"/>
                        </w:rPr>
                      </w:pPr>
                      <w:r w:rsidRPr="00702C91">
                        <w:rPr>
                          <w:rFonts w:ascii="Times New Roman" w:hAnsi="Times New Roman" w:cs="Times New Roman"/>
                          <w:b/>
                          <w:bCs/>
                          <w:i w:val="0"/>
                          <w:iCs w:val="0"/>
                          <w:color w:val="000000" w:themeColor="text1"/>
                          <w:sz w:val="20"/>
                          <w:szCs w:val="20"/>
                        </w:rPr>
                        <w:t xml:space="preserve">Table </w:t>
                      </w:r>
                      <w:r w:rsidRPr="00702C91">
                        <w:rPr>
                          <w:rFonts w:ascii="Times New Roman" w:hAnsi="Times New Roman" w:cs="Times New Roman"/>
                          <w:b/>
                          <w:bCs/>
                          <w:i w:val="0"/>
                          <w:iCs w:val="0"/>
                          <w:color w:val="000000" w:themeColor="text1"/>
                          <w:sz w:val="20"/>
                          <w:szCs w:val="20"/>
                        </w:rPr>
                        <w:fldChar w:fldCharType="begin"/>
                      </w:r>
                      <w:r w:rsidRPr="00702C91">
                        <w:rPr>
                          <w:rFonts w:ascii="Times New Roman" w:hAnsi="Times New Roman" w:cs="Times New Roman"/>
                          <w:b/>
                          <w:bCs/>
                          <w:i w:val="0"/>
                          <w:iCs w:val="0"/>
                          <w:color w:val="000000" w:themeColor="text1"/>
                          <w:sz w:val="20"/>
                          <w:szCs w:val="20"/>
                        </w:rPr>
                        <w:instrText xml:space="preserve"> SEQ Table \* ARABIC </w:instrText>
                      </w:r>
                      <w:r w:rsidRPr="00702C91">
                        <w:rPr>
                          <w:rFonts w:ascii="Times New Roman" w:hAnsi="Times New Roman" w:cs="Times New Roman"/>
                          <w:b/>
                          <w:bCs/>
                          <w:i w:val="0"/>
                          <w:iCs w:val="0"/>
                          <w:color w:val="000000" w:themeColor="text1"/>
                          <w:sz w:val="20"/>
                          <w:szCs w:val="20"/>
                        </w:rPr>
                        <w:fldChar w:fldCharType="separate"/>
                      </w:r>
                      <w:r w:rsidRPr="00702C91">
                        <w:rPr>
                          <w:rFonts w:ascii="Times New Roman" w:hAnsi="Times New Roman" w:cs="Times New Roman"/>
                          <w:b/>
                          <w:bCs/>
                          <w:i w:val="0"/>
                          <w:iCs w:val="0"/>
                          <w:noProof/>
                          <w:color w:val="000000" w:themeColor="text1"/>
                          <w:sz w:val="20"/>
                          <w:szCs w:val="20"/>
                        </w:rPr>
                        <w:t>3</w:t>
                      </w:r>
                      <w:r w:rsidRPr="00702C91">
                        <w:rPr>
                          <w:rFonts w:ascii="Times New Roman" w:hAnsi="Times New Roman" w:cs="Times New Roman"/>
                          <w:b/>
                          <w:bCs/>
                          <w:i w:val="0"/>
                          <w:iCs w:val="0"/>
                          <w:color w:val="000000" w:themeColor="text1"/>
                          <w:sz w:val="20"/>
                          <w:szCs w:val="20"/>
                        </w:rPr>
                        <w:fldChar w:fldCharType="end"/>
                      </w:r>
                      <w:r w:rsidRPr="00702C91">
                        <w:rPr>
                          <w:rFonts w:ascii="Times New Roman" w:hAnsi="Times New Roman" w:cs="Times New Roman"/>
                          <w:b/>
                          <w:bCs/>
                          <w:i w:val="0"/>
                          <w:iCs w:val="0"/>
                          <w:color w:val="000000" w:themeColor="text1"/>
                          <w:sz w:val="20"/>
                          <w:szCs w:val="20"/>
                        </w:rPr>
                        <w:t>: Validity of the Sample of the Study</w:t>
                      </w:r>
                    </w:p>
                    <w:tbl>
                      <w:tblPr>
                        <w:tblW w:w="6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67"/>
                        <w:gridCol w:w="3017"/>
                        <w:gridCol w:w="1024"/>
                      </w:tblGrid>
                      <w:tr w:rsidR="002C7201" w:rsidRPr="00702C91" w:rsidTr="00646867">
                        <w:trPr>
                          <w:cantSplit/>
                          <w:trHeight w:val="343"/>
                        </w:trPr>
                        <w:tc>
                          <w:tcPr>
                            <w:tcW w:w="5584" w:type="dxa"/>
                            <w:gridSpan w:val="2"/>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Kaiser-Meyer-Olkin Measure of Sampling Adequacy.</w:t>
                            </w:r>
                          </w:p>
                        </w:tc>
                        <w:tc>
                          <w:tcPr>
                            <w:tcW w:w="1024"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0.768</w:t>
                            </w:r>
                          </w:p>
                        </w:tc>
                      </w:tr>
                      <w:tr w:rsidR="002C7201" w:rsidRPr="00702C91" w:rsidTr="00646867">
                        <w:trPr>
                          <w:cantSplit/>
                          <w:trHeight w:val="343"/>
                        </w:trPr>
                        <w:tc>
                          <w:tcPr>
                            <w:tcW w:w="2567" w:type="dxa"/>
                            <w:vMerge w:val="restart"/>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Bartlett's Test of Sphericity</w:t>
                            </w:r>
                          </w:p>
                        </w:tc>
                        <w:tc>
                          <w:tcPr>
                            <w:tcW w:w="3017"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Approx. Chi-Square</w:t>
                            </w:r>
                          </w:p>
                        </w:tc>
                        <w:tc>
                          <w:tcPr>
                            <w:tcW w:w="1024"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307.690</w:t>
                            </w:r>
                          </w:p>
                        </w:tc>
                      </w:tr>
                      <w:tr w:rsidR="002C7201" w:rsidRPr="00702C91" w:rsidTr="00646867">
                        <w:trPr>
                          <w:cantSplit/>
                          <w:trHeight w:val="360"/>
                        </w:trPr>
                        <w:tc>
                          <w:tcPr>
                            <w:tcW w:w="2567" w:type="dxa"/>
                            <w:vMerge/>
                            <w:shd w:val="clear" w:color="auto" w:fill="FFFFFF"/>
                          </w:tcPr>
                          <w:p w:rsidR="002C7201" w:rsidRPr="00702C91" w:rsidRDefault="002C7201" w:rsidP="00646867">
                            <w:pPr>
                              <w:autoSpaceDE w:val="0"/>
                              <w:autoSpaceDN w:val="0"/>
                              <w:adjustRightInd w:val="0"/>
                              <w:spacing w:after="120" w:line="240" w:lineRule="auto"/>
                              <w:rPr>
                                <w:rFonts w:ascii="Times New Roman" w:hAnsi="Times New Roman" w:cs="Times New Roman"/>
                                <w:color w:val="000000"/>
                                <w:sz w:val="20"/>
                                <w:szCs w:val="20"/>
                              </w:rPr>
                            </w:pPr>
                          </w:p>
                        </w:tc>
                        <w:tc>
                          <w:tcPr>
                            <w:tcW w:w="3017"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df</w:t>
                            </w:r>
                          </w:p>
                        </w:tc>
                        <w:tc>
                          <w:tcPr>
                            <w:tcW w:w="1024"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36</w:t>
                            </w:r>
                          </w:p>
                        </w:tc>
                      </w:tr>
                      <w:tr w:rsidR="002C7201" w:rsidRPr="00702C91" w:rsidTr="00646867">
                        <w:trPr>
                          <w:cantSplit/>
                          <w:trHeight w:val="360"/>
                        </w:trPr>
                        <w:tc>
                          <w:tcPr>
                            <w:tcW w:w="2567" w:type="dxa"/>
                            <w:vMerge/>
                            <w:shd w:val="clear" w:color="auto" w:fill="FFFFFF"/>
                          </w:tcPr>
                          <w:p w:rsidR="002C7201" w:rsidRPr="00702C91" w:rsidRDefault="002C7201" w:rsidP="00646867">
                            <w:pPr>
                              <w:autoSpaceDE w:val="0"/>
                              <w:autoSpaceDN w:val="0"/>
                              <w:adjustRightInd w:val="0"/>
                              <w:spacing w:after="120" w:line="240" w:lineRule="auto"/>
                              <w:rPr>
                                <w:rFonts w:ascii="Times New Roman" w:hAnsi="Times New Roman" w:cs="Times New Roman"/>
                                <w:color w:val="000000"/>
                                <w:sz w:val="20"/>
                                <w:szCs w:val="20"/>
                              </w:rPr>
                            </w:pPr>
                          </w:p>
                        </w:tc>
                        <w:tc>
                          <w:tcPr>
                            <w:tcW w:w="3017"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Sig.</w:t>
                            </w:r>
                          </w:p>
                        </w:tc>
                        <w:tc>
                          <w:tcPr>
                            <w:tcW w:w="1024"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0.000</w:t>
                            </w:r>
                          </w:p>
                        </w:tc>
                      </w:tr>
                    </w:tbl>
                    <w:p w:rsidR="002C7201" w:rsidRPr="00702C91" w:rsidRDefault="002C7201" w:rsidP="00A066BD">
                      <w:pPr>
                        <w:spacing w:after="0" w:line="360" w:lineRule="auto"/>
                        <w:jc w:val="center"/>
                        <w:rPr>
                          <w:rFonts w:ascii="Times New Roman" w:hAnsi="Times New Roman" w:cs="Times New Roman"/>
                          <w:color w:val="000000" w:themeColor="text1"/>
                          <w:sz w:val="20"/>
                          <w:szCs w:val="20"/>
                        </w:rPr>
                      </w:pPr>
                      <w:r w:rsidRPr="00702C91">
                        <w:rPr>
                          <w:rFonts w:ascii="Times New Roman" w:hAnsi="Times New Roman" w:cs="Times New Roman"/>
                          <w:color w:val="000000" w:themeColor="text1"/>
                          <w:sz w:val="20"/>
                          <w:szCs w:val="20"/>
                        </w:rPr>
                        <w:t>Source: Survey Data (2017)</w:t>
                      </w:r>
                    </w:p>
                    <w:p w:rsidR="002C7201" w:rsidRPr="00123269" w:rsidRDefault="002C7201" w:rsidP="00010B27">
                      <w:pPr>
                        <w:rPr>
                          <w:lang w:bidi="si-LK"/>
                        </w:rPr>
                      </w:pPr>
                    </w:p>
                    <w:p w:rsidR="002C7201" w:rsidRPr="00123269" w:rsidRDefault="002C7201" w:rsidP="00010B27">
                      <w:pPr>
                        <w:rPr>
                          <w:color w:val="000000" w:themeColor="text1"/>
                        </w:rPr>
                      </w:pPr>
                    </w:p>
                  </w:txbxContent>
                </v:textbox>
                <w10:wrap type="topAndBottom"/>
              </v:rect>
            </w:pict>
          </mc:Fallback>
        </mc:AlternateContent>
      </w:r>
      <w:r>
        <w:rPr>
          <w:noProof/>
        </w:rPr>
        <mc:AlternateContent>
          <mc:Choice Requires="wps">
            <w:drawing>
              <wp:anchor distT="0" distB="0" distL="114300" distR="114300" simplePos="0" relativeHeight="251663360" behindDoc="0" locked="0" layoutInCell="1" allowOverlap="1" wp14:anchorId="2CB090E2" wp14:editId="0CB303D3">
                <wp:simplePos x="0" y="0"/>
                <wp:positionH relativeFrom="margin">
                  <wp:posOffset>173203</wp:posOffset>
                </wp:positionH>
                <wp:positionV relativeFrom="paragraph">
                  <wp:posOffset>1404874</wp:posOffset>
                </wp:positionV>
                <wp:extent cx="4886325" cy="3784600"/>
                <wp:effectExtent l="0" t="0" r="0" b="0"/>
                <wp:wrapTopAndBottom/>
                <wp:docPr id="6" name="Rectangle 6"/>
                <wp:cNvGraphicFramePr/>
                <a:graphic xmlns:a="http://schemas.openxmlformats.org/drawingml/2006/main">
                  <a:graphicData uri="http://schemas.microsoft.com/office/word/2010/wordprocessingShape">
                    <wps:wsp>
                      <wps:cNvSpPr/>
                      <wps:spPr>
                        <a:xfrm>
                          <a:off x="0" y="0"/>
                          <a:ext cx="4886325" cy="37846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C7201" w:rsidRDefault="002C7201" w:rsidP="00A066BD">
                            <w:pPr>
                              <w:jc w:val="center"/>
                              <w:rPr>
                                <w:rFonts w:ascii="Times New Roman" w:hAnsi="Times New Roman" w:cs="Times New Roman"/>
                                <w:b/>
                                <w:bCs/>
                                <w:color w:val="000000" w:themeColor="text1"/>
                                <w:sz w:val="20"/>
                                <w:szCs w:val="20"/>
                              </w:rPr>
                            </w:pPr>
                            <w:r w:rsidRPr="00123269">
                              <w:rPr>
                                <w:rFonts w:ascii="Times New Roman" w:hAnsi="Times New Roman" w:cs="Times New Roman"/>
                                <w:b/>
                                <w:bCs/>
                                <w:color w:val="000000" w:themeColor="text1"/>
                                <w:sz w:val="20"/>
                                <w:szCs w:val="20"/>
                              </w:rPr>
                              <w:t xml:space="preserve">Table </w:t>
                            </w:r>
                            <w:r w:rsidRPr="00123269">
                              <w:rPr>
                                <w:rFonts w:ascii="Times New Roman" w:hAnsi="Times New Roman" w:cs="Times New Roman"/>
                                <w:b/>
                                <w:bCs/>
                                <w:i/>
                                <w:iCs/>
                                <w:color w:val="000000" w:themeColor="text1"/>
                                <w:sz w:val="20"/>
                                <w:szCs w:val="20"/>
                              </w:rPr>
                              <w:fldChar w:fldCharType="begin"/>
                            </w:r>
                            <w:r w:rsidRPr="00123269">
                              <w:rPr>
                                <w:rFonts w:ascii="Times New Roman" w:hAnsi="Times New Roman" w:cs="Times New Roman"/>
                                <w:b/>
                                <w:bCs/>
                                <w:color w:val="000000" w:themeColor="text1"/>
                                <w:sz w:val="20"/>
                                <w:szCs w:val="20"/>
                              </w:rPr>
                              <w:instrText xml:space="preserve"> SEQ Table \* ARABIC </w:instrText>
                            </w:r>
                            <w:r w:rsidRPr="00123269">
                              <w:rPr>
                                <w:rFonts w:ascii="Times New Roman" w:hAnsi="Times New Roman" w:cs="Times New Roman"/>
                                <w:b/>
                                <w:bCs/>
                                <w:i/>
                                <w:iCs/>
                                <w:color w:val="000000" w:themeColor="text1"/>
                                <w:sz w:val="20"/>
                                <w:szCs w:val="20"/>
                              </w:rPr>
                              <w:fldChar w:fldCharType="separate"/>
                            </w:r>
                            <w:r w:rsidRPr="00123269">
                              <w:rPr>
                                <w:rFonts w:ascii="Times New Roman" w:hAnsi="Times New Roman" w:cs="Times New Roman"/>
                                <w:b/>
                                <w:bCs/>
                                <w:noProof/>
                                <w:color w:val="000000" w:themeColor="text1"/>
                                <w:sz w:val="20"/>
                                <w:szCs w:val="20"/>
                              </w:rPr>
                              <w:t>2</w:t>
                            </w:r>
                            <w:r w:rsidRPr="00123269">
                              <w:rPr>
                                <w:rFonts w:ascii="Times New Roman" w:hAnsi="Times New Roman" w:cs="Times New Roman"/>
                                <w:b/>
                                <w:bCs/>
                                <w:i/>
                                <w:iCs/>
                                <w:color w:val="000000" w:themeColor="text1"/>
                                <w:sz w:val="20"/>
                                <w:szCs w:val="20"/>
                              </w:rPr>
                              <w:fldChar w:fldCharType="end"/>
                            </w:r>
                            <w:r w:rsidRPr="00123269">
                              <w:rPr>
                                <w:rFonts w:ascii="Times New Roman" w:hAnsi="Times New Roman" w:cs="Times New Roman"/>
                                <w:b/>
                                <w:bCs/>
                                <w:color w:val="000000" w:themeColor="text1"/>
                                <w:sz w:val="20"/>
                                <w:szCs w:val="20"/>
                              </w:rPr>
                              <w:t>: Reliability of Each Statistically Measurable Determinant</w:t>
                            </w:r>
                          </w:p>
                          <w:tbl>
                            <w:tblPr>
                              <w:tblStyle w:val="TableGrid"/>
                              <w:tblW w:w="0" w:type="auto"/>
                              <w:tblLook w:val="04A0" w:firstRow="1" w:lastRow="0" w:firstColumn="1" w:lastColumn="0" w:noHBand="0" w:noVBand="1"/>
                            </w:tblPr>
                            <w:tblGrid>
                              <w:gridCol w:w="535"/>
                              <w:gridCol w:w="4770"/>
                              <w:gridCol w:w="1260"/>
                            </w:tblGrid>
                            <w:tr w:rsidR="002C7201" w:rsidRPr="00123269" w:rsidTr="00677940">
                              <w:trPr>
                                <w:trHeight w:val="791"/>
                              </w:trPr>
                              <w:tc>
                                <w:tcPr>
                                  <w:tcW w:w="535" w:type="dxa"/>
                                </w:tcPr>
                                <w:p w:rsidR="002C7201" w:rsidRPr="00123269" w:rsidRDefault="002C7201" w:rsidP="00646867">
                                  <w:pPr>
                                    <w:spacing w:after="120" w:line="360" w:lineRule="auto"/>
                                    <w:jc w:val="both"/>
                                    <w:rPr>
                                      <w:rFonts w:ascii="Times New Roman" w:hAnsi="Times New Roman" w:cs="Times New Roman"/>
                                      <w:b/>
                                      <w:bCs/>
                                      <w:color w:val="000000" w:themeColor="text1"/>
                                      <w:sz w:val="20"/>
                                      <w:szCs w:val="20"/>
                                    </w:rPr>
                                  </w:pPr>
                                  <w:r w:rsidRPr="00123269">
                                    <w:rPr>
                                      <w:rFonts w:ascii="Times New Roman" w:hAnsi="Times New Roman" w:cs="Times New Roman"/>
                                      <w:b/>
                                      <w:bCs/>
                                      <w:color w:val="000000" w:themeColor="text1"/>
                                      <w:sz w:val="20"/>
                                      <w:szCs w:val="20"/>
                                    </w:rPr>
                                    <w:t>No</w:t>
                                  </w:r>
                                </w:p>
                              </w:tc>
                              <w:tc>
                                <w:tcPr>
                                  <w:tcW w:w="4770" w:type="dxa"/>
                                </w:tcPr>
                                <w:p w:rsidR="002C7201" w:rsidRPr="00123269" w:rsidRDefault="002C7201" w:rsidP="00646867">
                                  <w:pPr>
                                    <w:spacing w:after="120" w:line="360" w:lineRule="auto"/>
                                    <w:jc w:val="both"/>
                                    <w:rPr>
                                      <w:rFonts w:ascii="Times New Roman" w:hAnsi="Times New Roman" w:cs="Times New Roman"/>
                                      <w:b/>
                                      <w:bCs/>
                                      <w:color w:val="000000" w:themeColor="text1"/>
                                      <w:sz w:val="20"/>
                                      <w:szCs w:val="20"/>
                                    </w:rPr>
                                  </w:pPr>
                                  <w:r w:rsidRPr="00123269">
                                    <w:rPr>
                                      <w:rFonts w:ascii="Times New Roman" w:hAnsi="Times New Roman" w:cs="Times New Roman"/>
                                      <w:b/>
                                      <w:bCs/>
                                      <w:color w:val="000000" w:themeColor="text1"/>
                                      <w:sz w:val="20"/>
                                      <w:szCs w:val="20"/>
                                    </w:rPr>
                                    <w:t>Factor</w:t>
                                  </w:r>
                                </w:p>
                              </w:tc>
                              <w:tc>
                                <w:tcPr>
                                  <w:tcW w:w="1260" w:type="dxa"/>
                                </w:tcPr>
                                <w:p w:rsidR="002C7201" w:rsidRPr="00123269" w:rsidRDefault="002C7201" w:rsidP="00646867">
                                  <w:pPr>
                                    <w:spacing w:after="120" w:line="360" w:lineRule="auto"/>
                                    <w:jc w:val="both"/>
                                    <w:rPr>
                                      <w:rFonts w:ascii="Times New Roman" w:hAnsi="Times New Roman" w:cs="Times New Roman"/>
                                      <w:b/>
                                      <w:bCs/>
                                      <w:color w:val="000000" w:themeColor="text1"/>
                                      <w:sz w:val="20"/>
                                      <w:szCs w:val="20"/>
                                    </w:rPr>
                                  </w:pPr>
                                  <w:r w:rsidRPr="00123269">
                                    <w:rPr>
                                      <w:rFonts w:ascii="Times New Roman" w:hAnsi="Times New Roman" w:cs="Times New Roman"/>
                                      <w:b/>
                                      <w:bCs/>
                                      <w:color w:val="000000" w:themeColor="text1"/>
                                      <w:sz w:val="20"/>
                                      <w:szCs w:val="20"/>
                                    </w:rPr>
                                    <w:t>Cronbach’s Alpha</w:t>
                                  </w:r>
                                </w:p>
                              </w:tc>
                            </w:tr>
                            <w:tr w:rsidR="002C7201" w:rsidRPr="00123269" w:rsidTr="00677940">
                              <w:tc>
                                <w:tcPr>
                                  <w:tcW w:w="535" w:type="dxa"/>
                                </w:tcPr>
                                <w:p w:rsidR="002C7201" w:rsidRPr="00123269" w:rsidRDefault="002C7201" w:rsidP="00646867">
                                  <w:pPr>
                                    <w:spacing w:after="120" w:line="360" w:lineRule="auto"/>
                                    <w:jc w:val="both"/>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1</w:t>
                                  </w:r>
                                </w:p>
                              </w:tc>
                              <w:tc>
                                <w:tcPr>
                                  <w:tcW w:w="4770" w:type="dxa"/>
                                </w:tcPr>
                                <w:p w:rsidR="002C7201" w:rsidRPr="00123269" w:rsidRDefault="002C7201" w:rsidP="00646867">
                                  <w:pPr>
                                    <w:spacing w:after="120" w:line="360" w:lineRule="auto"/>
                                    <w:jc w:val="both"/>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Expertise</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0.787</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2</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Motivation for Post – Retirement Employment</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0.748</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3</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Post – Retirement Education</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0.616</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4</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Self – Actualization</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0.641</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5</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Health Conditions</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0.595</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6</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Occupational Demands</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0.765</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7</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Financial Stability</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0.766</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8</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Employer Intentions</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0.627</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9</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Job Security</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0.491</w:t>
                                  </w:r>
                                </w:p>
                              </w:tc>
                            </w:tr>
                          </w:tbl>
                          <w:p w:rsidR="002C7201" w:rsidRPr="00123269" w:rsidRDefault="002C7201" w:rsidP="00A066BD">
                            <w:pPr>
                              <w:spacing w:after="0" w:line="360" w:lineRule="auto"/>
                              <w:jc w:val="center"/>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Source: Survey Data (2017)</w:t>
                            </w:r>
                          </w:p>
                          <w:p w:rsidR="002C7201" w:rsidRPr="00123269" w:rsidRDefault="002C7201" w:rsidP="00D27298">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B090E2" id="Rectangle 6" o:spid="_x0000_s1060" style="position:absolute;left:0;text-align:left;margin-left:13.65pt;margin-top:110.6pt;width:384.75pt;height:298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" filled="f" stroked="f" strokeweight="1pt">
                <v:textbox>
                  <w:txbxContent>
                    <w:p w:rsidR="002C7201" w:rsidRDefault="002C7201" w:rsidP="00A066BD">
                      <w:pPr>
                        <w:jc w:val="center"/>
                        <w:rPr>
                          <w:rFonts w:ascii="Times New Roman" w:hAnsi="Times New Roman" w:cs="Times New Roman"/>
                          <w:b/>
                          <w:bCs/>
                          <w:color w:val="000000" w:themeColor="text1"/>
                          <w:sz w:val="20"/>
                          <w:szCs w:val="20"/>
                        </w:rPr>
                      </w:pPr>
                      <w:r w:rsidRPr="00123269">
                        <w:rPr>
                          <w:rFonts w:ascii="Times New Roman" w:hAnsi="Times New Roman" w:cs="Times New Roman"/>
                          <w:b/>
                          <w:bCs/>
                          <w:color w:val="000000" w:themeColor="text1"/>
                          <w:sz w:val="20"/>
                          <w:szCs w:val="20"/>
                        </w:rPr>
                        <w:t xml:space="preserve">Table </w:t>
                      </w:r>
                      <w:r w:rsidRPr="00123269">
                        <w:rPr>
                          <w:rFonts w:ascii="Times New Roman" w:hAnsi="Times New Roman" w:cs="Times New Roman"/>
                          <w:b/>
                          <w:bCs/>
                          <w:i/>
                          <w:iCs/>
                          <w:color w:val="000000" w:themeColor="text1"/>
                          <w:sz w:val="20"/>
                          <w:szCs w:val="20"/>
                        </w:rPr>
                        <w:fldChar w:fldCharType="begin"/>
                      </w:r>
                      <w:r w:rsidRPr="00123269">
                        <w:rPr>
                          <w:rFonts w:ascii="Times New Roman" w:hAnsi="Times New Roman" w:cs="Times New Roman"/>
                          <w:b/>
                          <w:bCs/>
                          <w:color w:val="000000" w:themeColor="text1"/>
                          <w:sz w:val="20"/>
                          <w:szCs w:val="20"/>
                        </w:rPr>
                        <w:instrText xml:space="preserve"> SEQ Table \* ARABIC </w:instrText>
                      </w:r>
                      <w:r w:rsidRPr="00123269">
                        <w:rPr>
                          <w:rFonts w:ascii="Times New Roman" w:hAnsi="Times New Roman" w:cs="Times New Roman"/>
                          <w:b/>
                          <w:bCs/>
                          <w:i/>
                          <w:iCs/>
                          <w:color w:val="000000" w:themeColor="text1"/>
                          <w:sz w:val="20"/>
                          <w:szCs w:val="20"/>
                        </w:rPr>
                        <w:fldChar w:fldCharType="separate"/>
                      </w:r>
                      <w:r w:rsidRPr="00123269">
                        <w:rPr>
                          <w:rFonts w:ascii="Times New Roman" w:hAnsi="Times New Roman" w:cs="Times New Roman"/>
                          <w:b/>
                          <w:bCs/>
                          <w:noProof/>
                          <w:color w:val="000000" w:themeColor="text1"/>
                          <w:sz w:val="20"/>
                          <w:szCs w:val="20"/>
                        </w:rPr>
                        <w:t>2</w:t>
                      </w:r>
                      <w:r w:rsidRPr="00123269">
                        <w:rPr>
                          <w:rFonts w:ascii="Times New Roman" w:hAnsi="Times New Roman" w:cs="Times New Roman"/>
                          <w:b/>
                          <w:bCs/>
                          <w:i/>
                          <w:iCs/>
                          <w:color w:val="000000" w:themeColor="text1"/>
                          <w:sz w:val="20"/>
                          <w:szCs w:val="20"/>
                        </w:rPr>
                        <w:fldChar w:fldCharType="end"/>
                      </w:r>
                      <w:r w:rsidRPr="00123269">
                        <w:rPr>
                          <w:rFonts w:ascii="Times New Roman" w:hAnsi="Times New Roman" w:cs="Times New Roman"/>
                          <w:b/>
                          <w:bCs/>
                          <w:color w:val="000000" w:themeColor="text1"/>
                          <w:sz w:val="20"/>
                          <w:szCs w:val="20"/>
                        </w:rPr>
                        <w:t>: Reliability of Each Statistically Measurable Determinant</w:t>
                      </w:r>
                    </w:p>
                    <w:tbl>
                      <w:tblPr>
                        <w:tblStyle w:val="TableGrid"/>
                        <w:tblW w:w="0" w:type="auto"/>
                        <w:tblLook w:val="04A0" w:firstRow="1" w:lastRow="0" w:firstColumn="1" w:lastColumn="0" w:noHBand="0" w:noVBand="1"/>
                      </w:tblPr>
                      <w:tblGrid>
                        <w:gridCol w:w="535"/>
                        <w:gridCol w:w="4770"/>
                        <w:gridCol w:w="1260"/>
                      </w:tblGrid>
                      <w:tr w:rsidR="002C7201" w:rsidRPr="00123269" w:rsidTr="00677940">
                        <w:trPr>
                          <w:trHeight w:val="791"/>
                        </w:trPr>
                        <w:tc>
                          <w:tcPr>
                            <w:tcW w:w="535" w:type="dxa"/>
                          </w:tcPr>
                          <w:p w:rsidR="002C7201" w:rsidRPr="00123269" w:rsidRDefault="002C7201" w:rsidP="00646867">
                            <w:pPr>
                              <w:spacing w:after="120" w:line="360" w:lineRule="auto"/>
                              <w:jc w:val="both"/>
                              <w:rPr>
                                <w:rFonts w:ascii="Times New Roman" w:hAnsi="Times New Roman" w:cs="Times New Roman"/>
                                <w:b/>
                                <w:bCs/>
                                <w:color w:val="000000" w:themeColor="text1"/>
                                <w:sz w:val="20"/>
                                <w:szCs w:val="20"/>
                              </w:rPr>
                            </w:pPr>
                            <w:r w:rsidRPr="00123269">
                              <w:rPr>
                                <w:rFonts w:ascii="Times New Roman" w:hAnsi="Times New Roman" w:cs="Times New Roman"/>
                                <w:b/>
                                <w:bCs/>
                                <w:color w:val="000000" w:themeColor="text1"/>
                                <w:sz w:val="20"/>
                                <w:szCs w:val="20"/>
                              </w:rPr>
                              <w:t>No</w:t>
                            </w:r>
                          </w:p>
                        </w:tc>
                        <w:tc>
                          <w:tcPr>
                            <w:tcW w:w="4770" w:type="dxa"/>
                          </w:tcPr>
                          <w:p w:rsidR="002C7201" w:rsidRPr="00123269" w:rsidRDefault="002C7201" w:rsidP="00646867">
                            <w:pPr>
                              <w:spacing w:after="120" w:line="360" w:lineRule="auto"/>
                              <w:jc w:val="both"/>
                              <w:rPr>
                                <w:rFonts w:ascii="Times New Roman" w:hAnsi="Times New Roman" w:cs="Times New Roman"/>
                                <w:b/>
                                <w:bCs/>
                                <w:color w:val="000000" w:themeColor="text1"/>
                                <w:sz w:val="20"/>
                                <w:szCs w:val="20"/>
                              </w:rPr>
                            </w:pPr>
                            <w:r w:rsidRPr="00123269">
                              <w:rPr>
                                <w:rFonts w:ascii="Times New Roman" w:hAnsi="Times New Roman" w:cs="Times New Roman"/>
                                <w:b/>
                                <w:bCs/>
                                <w:color w:val="000000" w:themeColor="text1"/>
                                <w:sz w:val="20"/>
                                <w:szCs w:val="20"/>
                              </w:rPr>
                              <w:t>Factor</w:t>
                            </w:r>
                          </w:p>
                        </w:tc>
                        <w:tc>
                          <w:tcPr>
                            <w:tcW w:w="1260" w:type="dxa"/>
                          </w:tcPr>
                          <w:p w:rsidR="002C7201" w:rsidRPr="00123269" w:rsidRDefault="002C7201" w:rsidP="00646867">
                            <w:pPr>
                              <w:spacing w:after="120" w:line="360" w:lineRule="auto"/>
                              <w:jc w:val="both"/>
                              <w:rPr>
                                <w:rFonts w:ascii="Times New Roman" w:hAnsi="Times New Roman" w:cs="Times New Roman"/>
                                <w:b/>
                                <w:bCs/>
                                <w:color w:val="000000" w:themeColor="text1"/>
                                <w:sz w:val="20"/>
                                <w:szCs w:val="20"/>
                              </w:rPr>
                            </w:pPr>
                            <w:r w:rsidRPr="00123269">
                              <w:rPr>
                                <w:rFonts w:ascii="Times New Roman" w:hAnsi="Times New Roman" w:cs="Times New Roman"/>
                                <w:b/>
                                <w:bCs/>
                                <w:color w:val="000000" w:themeColor="text1"/>
                                <w:sz w:val="20"/>
                                <w:szCs w:val="20"/>
                              </w:rPr>
                              <w:t>Cronbach’s Alpha</w:t>
                            </w:r>
                          </w:p>
                        </w:tc>
                      </w:tr>
                      <w:tr w:rsidR="002C7201" w:rsidRPr="00123269" w:rsidTr="00677940">
                        <w:tc>
                          <w:tcPr>
                            <w:tcW w:w="535" w:type="dxa"/>
                          </w:tcPr>
                          <w:p w:rsidR="002C7201" w:rsidRPr="00123269" w:rsidRDefault="002C7201" w:rsidP="00646867">
                            <w:pPr>
                              <w:spacing w:after="120" w:line="360" w:lineRule="auto"/>
                              <w:jc w:val="both"/>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1</w:t>
                            </w:r>
                          </w:p>
                        </w:tc>
                        <w:tc>
                          <w:tcPr>
                            <w:tcW w:w="4770" w:type="dxa"/>
                          </w:tcPr>
                          <w:p w:rsidR="002C7201" w:rsidRPr="00123269" w:rsidRDefault="002C7201" w:rsidP="00646867">
                            <w:pPr>
                              <w:spacing w:after="120" w:line="360" w:lineRule="auto"/>
                              <w:jc w:val="both"/>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Expertise</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0.787</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2</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Motivation for Post – Retirement Employment</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0.748</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3</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Post – Retirement Education</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0.616</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4</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Self – Actualization</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0.641</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5</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Health Conditions</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0.595</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6</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Occupational Demands</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0.765</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7</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Financial Stability</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0.766</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8</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Employer Intentions</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0.627</w:t>
                            </w:r>
                          </w:p>
                        </w:tc>
                      </w:tr>
                      <w:tr w:rsidR="002C7201" w:rsidRPr="00123269" w:rsidTr="00677940">
                        <w:tc>
                          <w:tcPr>
                            <w:tcW w:w="535"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9</w:t>
                            </w:r>
                          </w:p>
                        </w:tc>
                        <w:tc>
                          <w:tcPr>
                            <w:tcW w:w="4770" w:type="dxa"/>
                          </w:tcPr>
                          <w:p w:rsidR="002C7201" w:rsidRPr="00123269" w:rsidRDefault="002C7201" w:rsidP="00646867">
                            <w:pPr>
                              <w:spacing w:after="120" w:line="360" w:lineRule="auto"/>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Job Security</w:t>
                            </w:r>
                          </w:p>
                        </w:tc>
                        <w:tc>
                          <w:tcPr>
                            <w:tcW w:w="1260" w:type="dxa"/>
                          </w:tcPr>
                          <w:p w:rsidR="002C7201" w:rsidRPr="00123269" w:rsidRDefault="002C7201" w:rsidP="00646867">
                            <w:pPr>
                              <w:spacing w:after="120" w:line="360" w:lineRule="auto"/>
                              <w:jc w:val="right"/>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0.491</w:t>
                            </w:r>
                          </w:p>
                        </w:tc>
                      </w:tr>
                    </w:tbl>
                    <w:p w:rsidR="002C7201" w:rsidRPr="00123269" w:rsidRDefault="002C7201" w:rsidP="00A066BD">
                      <w:pPr>
                        <w:spacing w:after="0" w:line="360" w:lineRule="auto"/>
                        <w:jc w:val="center"/>
                        <w:rPr>
                          <w:rFonts w:ascii="Times New Roman" w:hAnsi="Times New Roman" w:cs="Times New Roman"/>
                          <w:color w:val="000000" w:themeColor="text1"/>
                          <w:sz w:val="20"/>
                          <w:szCs w:val="20"/>
                        </w:rPr>
                      </w:pPr>
                      <w:r w:rsidRPr="00123269">
                        <w:rPr>
                          <w:rFonts w:ascii="Times New Roman" w:hAnsi="Times New Roman" w:cs="Times New Roman"/>
                          <w:color w:val="000000" w:themeColor="text1"/>
                          <w:sz w:val="20"/>
                          <w:szCs w:val="20"/>
                        </w:rPr>
                        <w:t>Source: Survey Data (2017)</w:t>
                      </w:r>
                    </w:p>
                    <w:p w:rsidR="002C7201" w:rsidRPr="00123269" w:rsidRDefault="002C7201" w:rsidP="00D27298">
                      <w:pPr>
                        <w:rPr>
                          <w:color w:val="000000" w:themeColor="text1"/>
                        </w:rPr>
                      </w:pPr>
                    </w:p>
                  </w:txbxContent>
                </v:textbox>
                <w10:wrap type="topAndBottom" anchorx="margin"/>
              </v:rect>
            </w:pict>
          </mc:Fallback>
        </mc:AlternateContent>
      </w:r>
      <w:r>
        <w:rPr>
          <w:noProof/>
        </w:rPr>
        <mc:AlternateContent>
          <mc:Choice Requires="wps">
            <w:drawing>
              <wp:anchor distT="0" distB="0" distL="114300" distR="114300" simplePos="0" relativeHeight="251661312" behindDoc="0" locked="0" layoutInCell="1" allowOverlap="1" wp14:anchorId="4AA66156" wp14:editId="6BF0F61C">
                <wp:simplePos x="0" y="0"/>
                <wp:positionH relativeFrom="margin">
                  <wp:posOffset>373278</wp:posOffset>
                </wp:positionH>
                <wp:positionV relativeFrom="paragraph">
                  <wp:posOffset>9144</wp:posOffset>
                </wp:positionV>
                <wp:extent cx="4676775" cy="1304925"/>
                <wp:effectExtent l="0" t="0" r="9525" b="9525"/>
                <wp:wrapTopAndBottom/>
                <wp:docPr id="5" name="Rectangle 5"/>
                <wp:cNvGraphicFramePr/>
                <a:graphic xmlns:a="http://schemas.openxmlformats.org/drawingml/2006/main">
                  <a:graphicData uri="http://schemas.microsoft.com/office/word/2010/wordprocessingShape">
                    <wps:wsp>
                      <wps:cNvSpPr/>
                      <wps:spPr>
                        <a:xfrm>
                          <a:off x="0" y="0"/>
                          <a:ext cx="4676775" cy="13049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C7201" w:rsidRPr="00D24044" w:rsidRDefault="002C7201" w:rsidP="00A066BD">
                            <w:pPr>
                              <w:pStyle w:val="Caption"/>
                              <w:jc w:val="center"/>
                              <w:rPr>
                                <w:rFonts w:ascii="Times New Roman" w:hAnsi="Times New Roman" w:cs="Times New Roman"/>
                                <w:b/>
                                <w:bCs/>
                                <w:i w:val="0"/>
                                <w:iCs w:val="0"/>
                                <w:color w:val="000000" w:themeColor="text1"/>
                                <w:sz w:val="20"/>
                                <w:szCs w:val="20"/>
                              </w:rPr>
                            </w:pPr>
                            <w:r w:rsidRPr="00D24044">
                              <w:rPr>
                                <w:rFonts w:ascii="Times New Roman" w:hAnsi="Times New Roman" w:cs="Times New Roman"/>
                                <w:b/>
                                <w:bCs/>
                                <w:i w:val="0"/>
                                <w:iCs w:val="0"/>
                                <w:color w:val="000000" w:themeColor="text1"/>
                                <w:sz w:val="20"/>
                                <w:szCs w:val="20"/>
                              </w:rPr>
                              <w:t xml:space="preserve">Table </w:t>
                            </w:r>
                            <w:r w:rsidRPr="00D24044">
                              <w:rPr>
                                <w:rFonts w:ascii="Times New Roman" w:hAnsi="Times New Roman" w:cs="Times New Roman"/>
                                <w:b/>
                                <w:bCs/>
                                <w:i w:val="0"/>
                                <w:iCs w:val="0"/>
                                <w:color w:val="000000" w:themeColor="text1"/>
                                <w:sz w:val="20"/>
                                <w:szCs w:val="20"/>
                              </w:rPr>
                              <w:fldChar w:fldCharType="begin"/>
                            </w:r>
                            <w:r w:rsidRPr="00D24044">
                              <w:rPr>
                                <w:rFonts w:ascii="Times New Roman" w:hAnsi="Times New Roman" w:cs="Times New Roman"/>
                                <w:b/>
                                <w:bCs/>
                                <w:i w:val="0"/>
                                <w:iCs w:val="0"/>
                                <w:color w:val="000000" w:themeColor="text1"/>
                                <w:sz w:val="20"/>
                                <w:szCs w:val="20"/>
                              </w:rPr>
                              <w:instrText xml:space="preserve"> SEQ Table \* ARABIC </w:instrText>
                            </w:r>
                            <w:r w:rsidRPr="00D24044">
                              <w:rPr>
                                <w:rFonts w:ascii="Times New Roman" w:hAnsi="Times New Roman" w:cs="Times New Roman"/>
                                <w:b/>
                                <w:bCs/>
                                <w:i w:val="0"/>
                                <w:iCs w:val="0"/>
                                <w:color w:val="000000" w:themeColor="text1"/>
                                <w:sz w:val="20"/>
                                <w:szCs w:val="20"/>
                              </w:rPr>
                              <w:fldChar w:fldCharType="separate"/>
                            </w:r>
                            <w:r w:rsidRPr="00D24044">
                              <w:rPr>
                                <w:rFonts w:ascii="Times New Roman" w:hAnsi="Times New Roman" w:cs="Times New Roman"/>
                                <w:b/>
                                <w:bCs/>
                                <w:i w:val="0"/>
                                <w:iCs w:val="0"/>
                                <w:noProof/>
                                <w:color w:val="000000" w:themeColor="text1"/>
                                <w:sz w:val="20"/>
                                <w:szCs w:val="20"/>
                              </w:rPr>
                              <w:t>1</w:t>
                            </w:r>
                            <w:r w:rsidRPr="00D24044">
                              <w:rPr>
                                <w:rFonts w:ascii="Times New Roman" w:hAnsi="Times New Roman" w:cs="Times New Roman"/>
                                <w:b/>
                                <w:bCs/>
                                <w:i w:val="0"/>
                                <w:iCs w:val="0"/>
                                <w:color w:val="000000" w:themeColor="text1"/>
                                <w:sz w:val="20"/>
                                <w:szCs w:val="20"/>
                              </w:rPr>
                              <w:fldChar w:fldCharType="end"/>
                            </w:r>
                            <w:r w:rsidRPr="00D24044">
                              <w:rPr>
                                <w:rFonts w:ascii="Times New Roman" w:hAnsi="Times New Roman" w:cs="Times New Roman"/>
                                <w:b/>
                                <w:bCs/>
                                <w:i w:val="0"/>
                                <w:iCs w:val="0"/>
                                <w:color w:val="000000" w:themeColor="text1"/>
                                <w:sz w:val="20"/>
                                <w:szCs w:val="20"/>
                              </w:rPr>
                              <w:t>: Reliability of the Sample of the Study</w:t>
                            </w:r>
                          </w:p>
                          <w:tbl>
                            <w:tblPr>
                              <w:tblStyle w:val="TableGrid"/>
                              <w:tblW w:w="0" w:type="auto"/>
                              <w:tblLook w:val="04A0" w:firstRow="1" w:lastRow="0" w:firstColumn="1" w:lastColumn="0" w:noHBand="0" w:noVBand="1"/>
                            </w:tblPr>
                            <w:tblGrid>
                              <w:gridCol w:w="1705"/>
                              <w:gridCol w:w="3240"/>
                              <w:gridCol w:w="1170"/>
                            </w:tblGrid>
                            <w:tr w:rsidR="002C7201" w:rsidRPr="00D24044" w:rsidTr="00646867">
                              <w:tc>
                                <w:tcPr>
                                  <w:tcW w:w="1705"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Cronbach's Alpha</w:t>
                                  </w:r>
                                </w:p>
                              </w:tc>
                              <w:tc>
                                <w:tcPr>
                                  <w:tcW w:w="3240"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Cronbach's Alpha Based on Standardized Items</w:t>
                                  </w:r>
                                </w:p>
                              </w:tc>
                              <w:tc>
                                <w:tcPr>
                                  <w:tcW w:w="1170"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N of Items</w:t>
                                  </w:r>
                                </w:p>
                              </w:tc>
                            </w:tr>
                            <w:tr w:rsidR="002C7201" w:rsidRPr="00D24044" w:rsidTr="00646867">
                              <w:tc>
                                <w:tcPr>
                                  <w:tcW w:w="1705"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0.853</w:t>
                                  </w:r>
                                </w:p>
                              </w:tc>
                              <w:tc>
                                <w:tcPr>
                                  <w:tcW w:w="3240"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0.856</w:t>
                                  </w:r>
                                </w:p>
                              </w:tc>
                              <w:tc>
                                <w:tcPr>
                                  <w:tcW w:w="1170"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0.856</w:t>
                                  </w:r>
                                </w:p>
                              </w:tc>
                            </w:tr>
                          </w:tbl>
                          <w:p w:rsidR="002C7201" w:rsidRPr="00D24044" w:rsidRDefault="002C7201" w:rsidP="00A066BD">
                            <w:pPr>
                              <w:spacing w:after="0" w:line="360" w:lineRule="auto"/>
                              <w:jc w:val="center"/>
                              <w:rPr>
                                <w:rFonts w:ascii="Times New Roman" w:hAnsi="Times New Roman" w:cs="Times New Roman"/>
                                <w:sz w:val="20"/>
                                <w:szCs w:val="20"/>
                              </w:rPr>
                            </w:pPr>
                            <w:r w:rsidRPr="00D24044">
                              <w:rPr>
                                <w:rFonts w:ascii="Times New Roman" w:hAnsi="Times New Roman" w:cs="Times New Roman"/>
                                <w:color w:val="000000" w:themeColor="text1"/>
                                <w:sz w:val="20"/>
                                <w:szCs w:val="20"/>
                              </w:rPr>
                              <w:t>Source: Survey Data (2017)</w:t>
                            </w:r>
                          </w:p>
                          <w:p w:rsidR="002C7201" w:rsidRPr="00123269" w:rsidRDefault="002C7201" w:rsidP="00A066BD">
                            <w:pPr>
                              <w:rPr>
                                <w:lang w:bidi="si-LK"/>
                              </w:rPr>
                            </w:pPr>
                          </w:p>
                          <w:p w:rsidR="002C7201" w:rsidRDefault="002C7201" w:rsidP="00A066B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A66156" id="Rectangle 5" o:spid="_x0000_s1061" style="position:absolute;left:0;text-align:left;margin-left:29.4pt;margin-top:.7pt;width:368.25pt;height:102.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" fillcolor="white [3212]" stroked="f" strokeweight="1pt">
                <v:textbox>
                  <w:txbxContent>
                    <w:p w:rsidR="002C7201" w:rsidRPr="00D24044" w:rsidRDefault="002C7201" w:rsidP="00A066BD">
                      <w:pPr>
                        <w:pStyle w:val="Caption"/>
                        <w:jc w:val="center"/>
                        <w:rPr>
                          <w:rFonts w:ascii="Times New Roman" w:hAnsi="Times New Roman" w:cs="Times New Roman"/>
                          <w:b/>
                          <w:bCs/>
                          <w:i w:val="0"/>
                          <w:iCs w:val="0"/>
                          <w:color w:val="000000" w:themeColor="text1"/>
                          <w:sz w:val="20"/>
                          <w:szCs w:val="20"/>
                        </w:rPr>
                      </w:pPr>
                      <w:r w:rsidRPr="00D24044">
                        <w:rPr>
                          <w:rFonts w:ascii="Times New Roman" w:hAnsi="Times New Roman" w:cs="Times New Roman"/>
                          <w:b/>
                          <w:bCs/>
                          <w:i w:val="0"/>
                          <w:iCs w:val="0"/>
                          <w:color w:val="000000" w:themeColor="text1"/>
                          <w:sz w:val="20"/>
                          <w:szCs w:val="20"/>
                        </w:rPr>
                        <w:t xml:space="preserve">Table </w:t>
                      </w:r>
                      <w:r w:rsidRPr="00D24044">
                        <w:rPr>
                          <w:rFonts w:ascii="Times New Roman" w:hAnsi="Times New Roman" w:cs="Times New Roman"/>
                          <w:b/>
                          <w:bCs/>
                          <w:i w:val="0"/>
                          <w:iCs w:val="0"/>
                          <w:color w:val="000000" w:themeColor="text1"/>
                          <w:sz w:val="20"/>
                          <w:szCs w:val="20"/>
                        </w:rPr>
                        <w:fldChar w:fldCharType="begin"/>
                      </w:r>
                      <w:r w:rsidRPr="00D24044">
                        <w:rPr>
                          <w:rFonts w:ascii="Times New Roman" w:hAnsi="Times New Roman" w:cs="Times New Roman"/>
                          <w:b/>
                          <w:bCs/>
                          <w:i w:val="0"/>
                          <w:iCs w:val="0"/>
                          <w:color w:val="000000" w:themeColor="text1"/>
                          <w:sz w:val="20"/>
                          <w:szCs w:val="20"/>
                        </w:rPr>
                        <w:instrText xml:space="preserve"> SEQ Table \* ARABIC </w:instrText>
                      </w:r>
                      <w:r w:rsidRPr="00D24044">
                        <w:rPr>
                          <w:rFonts w:ascii="Times New Roman" w:hAnsi="Times New Roman" w:cs="Times New Roman"/>
                          <w:b/>
                          <w:bCs/>
                          <w:i w:val="0"/>
                          <w:iCs w:val="0"/>
                          <w:color w:val="000000" w:themeColor="text1"/>
                          <w:sz w:val="20"/>
                          <w:szCs w:val="20"/>
                        </w:rPr>
                        <w:fldChar w:fldCharType="separate"/>
                      </w:r>
                      <w:r w:rsidRPr="00D24044">
                        <w:rPr>
                          <w:rFonts w:ascii="Times New Roman" w:hAnsi="Times New Roman" w:cs="Times New Roman"/>
                          <w:b/>
                          <w:bCs/>
                          <w:i w:val="0"/>
                          <w:iCs w:val="0"/>
                          <w:noProof/>
                          <w:color w:val="000000" w:themeColor="text1"/>
                          <w:sz w:val="20"/>
                          <w:szCs w:val="20"/>
                        </w:rPr>
                        <w:t>1</w:t>
                      </w:r>
                      <w:r w:rsidRPr="00D24044">
                        <w:rPr>
                          <w:rFonts w:ascii="Times New Roman" w:hAnsi="Times New Roman" w:cs="Times New Roman"/>
                          <w:b/>
                          <w:bCs/>
                          <w:i w:val="0"/>
                          <w:iCs w:val="0"/>
                          <w:color w:val="000000" w:themeColor="text1"/>
                          <w:sz w:val="20"/>
                          <w:szCs w:val="20"/>
                        </w:rPr>
                        <w:fldChar w:fldCharType="end"/>
                      </w:r>
                      <w:r w:rsidRPr="00D24044">
                        <w:rPr>
                          <w:rFonts w:ascii="Times New Roman" w:hAnsi="Times New Roman" w:cs="Times New Roman"/>
                          <w:b/>
                          <w:bCs/>
                          <w:i w:val="0"/>
                          <w:iCs w:val="0"/>
                          <w:color w:val="000000" w:themeColor="text1"/>
                          <w:sz w:val="20"/>
                          <w:szCs w:val="20"/>
                        </w:rPr>
                        <w:t>: Reliability of the Sample of the Study</w:t>
                      </w:r>
                    </w:p>
                    <w:tbl>
                      <w:tblPr>
                        <w:tblStyle w:val="TableGrid"/>
                        <w:tblW w:w="0" w:type="auto"/>
                        <w:tblLook w:val="04A0" w:firstRow="1" w:lastRow="0" w:firstColumn="1" w:lastColumn="0" w:noHBand="0" w:noVBand="1"/>
                      </w:tblPr>
                      <w:tblGrid>
                        <w:gridCol w:w="1705"/>
                        <w:gridCol w:w="3240"/>
                        <w:gridCol w:w="1170"/>
                      </w:tblGrid>
                      <w:tr w:rsidR="002C7201" w:rsidRPr="00D24044" w:rsidTr="00646867">
                        <w:tc>
                          <w:tcPr>
                            <w:tcW w:w="1705"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Cronbach's Alpha</w:t>
                            </w:r>
                          </w:p>
                        </w:tc>
                        <w:tc>
                          <w:tcPr>
                            <w:tcW w:w="3240"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Cronbach's Alpha Based on Standardized Items</w:t>
                            </w:r>
                          </w:p>
                        </w:tc>
                        <w:tc>
                          <w:tcPr>
                            <w:tcW w:w="1170"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N of Items</w:t>
                            </w:r>
                          </w:p>
                        </w:tc>
                      </w:tr>
                      <w:tr w:rsidR="002C7201" w:rsidRPr="00D24044" w:rsidTr="00646867">
                        <w:tc>
                          <w:tcPr>
                            <w:tcW w:w="1705"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0.853</w:t>
                            </w:r>
                          </w:p>
                        </w:tc>
                        <w:tc>
                          <w:tcPr>
                            <w:tcW w:w="3240"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0.856</w:t>
                            </w:r>
                          </w:p>
                        </w:tc>
                        <w:tc>
                          <w:tcPr>
                            <w:tcW w:w="1170" w:type="dxa"/>
                          </w:tcPr>
                          <w:p w:rsidR="002C7201" w:rsidRPr="00D24044" w:rsidRDefault="002C7201" w:rsidP="00A066BD">
                            <w:pPr>
                              <w:autoSpaceDE w:val="0"/>
                              <w:autoSpaceDN w:val="0"/>
                              <w:adjustRightInd w:val="0"/>
                              <w:spacing w:after="120" w:line="320" w:lineRule="atLeast"/>
                              <w:ind w:left="60" w:right="60"/>
                              <w:rPr>
                                <w:rFonts w:ascii="Times New Roman" w:hAnsi="Times New Roman" w:cs="Times New Roman"/>
                                <w:color w:val="000000"/>
                                <w:sz w:val="20"/>
                                <w:szCs w:val="20"/>
                              </w:rPr>
                            </w:pPr>
                            <w:r w:rsidRPr="00D24044">
                              <w:rPr>
                                <w:rFonts w:ascii="Times New Roman" w:hAnsi="Times New Roman" w:cs="Times New Roman"/>
                                <w:color w:val="000000"/>
                                <w:sz w:val="20"/>
                                <w:szCs w:val="20"/>
                              </w:rPr>
                              <w:t>0.856</w:t>
                            </w:r>
                          </w:p>
                        </w:tc>
                      </w:tr>
                    </w:tbl>
                    <w:p w:rsidR="002C7201" w:rsidRPr="00D24044" w:rsidRDefault="002C7201" w:rsidP="00A066BD">
                      <w:pPr>
                        <w:spacing w:after="0" w:line="360" w:lineRule="auto"/>
                        <w:jc w:val="center"/>
                        <w:rPr>
                          <w:rFonts w:ascii="Times New Roman" w:hAnsi="Times New Roman" w:cs="Times New Roman"/>
                          <w:sz w:val="20"/>
                          <w:szCs w:val="20"/>
                        </w:rPr>
                      </w:pPr>
                      <w:r w:rsidRPr="00D24044">
                        <w:rPr>
                          <w:rFonts w:ascii="Times New Roman" w:hAnsi="Times New Roman" w:cs="Times New Roman"/>
                          <w:color w:val="000000" w:themeColor="text1"/>
                          <w:sz w:val="20"/>
                          <w:szCs w:val="20"/>
                        </w:rPr>
                        <w:t>Source: Survey Data (2017)</w:t>
                      </w:r>
                    </w:p>
                    <w:p w:rsidR="002C7201" w:rsidRPr="00123269" w:rsidRDefault="002C7201" w:rsidP="00A066BD">
                      <w:pPr>
                        <w:rPr>
                          <w:lang w:bidi="si-LK"/>
                        </w:rPr>
                      </w:pPr>
                    </w:p>
                    <w:p w:rsidR="002C7201" w:rsidRDefault="002C7201" w:rsidP="00A066BD"/>
                  </w:txbxContent>
                </v:textbox>
                <w10:wrap type="topAndBottom" anchorx="margin"/>
              </v:rect>
            </w:pict>
          </mc:Fallback>
        </mc:AlternateContent>
      </w:r>
    </w:p>
    <w:p w:rsidR="002B183F" w:rsidRPr="002B183F" w:rsidRDefault="002B183F" w:rsidP="002B183F">
      <w:pPr>
        <w:spacing w:after="0" w:line="240" w:lineRule="auto"/>
        <w:jc w:val="both"/>
        <w:rPr>
          <w:rFonts w:ascii="Times New Roman" w:hAnsi="Times New Roman" w:cs="Times New Roman"/>
          <w:sz w:val="20"/>
          <w:szCs w:val="20"/>
        </w:rPr>
      </w:pPr>
    </w:p>
    <w:p w:rsidR="003836B3" w:rsidRDefault="003836B3" w:rsidP="002B183F">
      <w:pPr>
        <w:spacing w:after="0" w:line="240" w:lineRule="auto"/>
        <w:jc w:val="both"/>
        <w:rPr>
          <w:rFonts w:ascii="Times New Roman" w:hAnsi="Times New Roman" w:cs="Times New Roman"/>
          <w:sz w:val="20"/>
          <w:szCs w:val="20"/>
        </w:rPr>
      </w:pPr>
    </w:p>
    <w:p w:rsidR="003836B3" w:rsidRDefault="003836B3" w:rsidP="002B183F">
      <w:pPr>
        <w:spacing w:after="0" w:line="240" w:lineRule="auto"/>
        <w:jc w:val="both"/>
        <w:rPr>
          <w:rFonts w:ascii="Times New Roman" w:hAnsi="Times New Roman" w:cs="Times New Roman"/>
          <w:sz w:val="20"/>
          <w:szCs w:val="20"/>
        </w:rPr>
      </w:pPr>
    </w:p>
    <w:p w:rsidR="003836B3" w:rsidRDefault="003836B3" w:rsidP="002B183F">
      <w:pPr>
        <w:spacing w:after="0" w:line="240" w:lineRule="auto"/>
        <w:jc w:val="both"/>
        <w:rPr>
          <w:rFonts w:ascii="Times New Roman" w:hAnsi="Times New Roman" w:cs="Times New Roman"/>
          <w:sz w:val="20"/>
          <w:szCs w:val="20"/>
        </w:rPr>
      </w:pPr>
    </w:p>
    <w:p w:rsidR="003836B3" w:rsidRDefault="003836B3" w:rsidP="002B183F">
      <w:pPr>
        <w:spacing w:after="0" w:line="240" w:lineRule="auto"/>
        <w:jc w:val="both"/>
        <w:rPr>
          <w:rFonts w:ascii="Times New Roman" w:hAnsi="Times New Roman" w:cs="Times New Roman"/>
          <w:sz w:val="20"/>
          <w:szCs w:val="20"/>
        </w:rPr>
      </w:pPr>
    </w:p>
    <w:p w:rsidR="002B183F" w:rsidRDefault="002B183F" w:rsidP="002B183F">
      <w:pPr>
        <w:spacing w:after="0" w:line="240" w:lineRule="auto"/>
        <w:jc w:val="both"/>
        <w:rPr>
          <w:rFonts w:ascii="Times New Roman" w:hAnsi="Times New Roman" w:cs="Times New Roman"/>
          <w:sz w:val="20"/>
          <w:szCs w:val="20"/>
        </w:rPr>
      </w:pPr>
      <w:r w:rsidRPr="002B183F">
        <w:rPr>
          <w:rFonts w:ascii="Times New Roman" w:hAnsi="Times New Roman" w:cs="Times New Roman"/>
          <w:sz w:val="20"/>
          <w:szCs w:val="20"/>
        </w:rPr>
        <w:lastRenderedPageBreak/>
        <w:t>51.5% of post – retired employees retired at the age of 55 years. 21.6% retired at completion of 60 years. 2.1% retired at the age of 65 years. 92.8% of post – retired employees were eligible for any kind of retirement benefit in Sri Lanka. Majority was beneficiaries of Public Service Pension Scheme (PSPS) and that was 59%. 38% were eligible for Employee Provident Fund (EPF) and Employee Trust Fund (ETF).</w:t>
      </w:r>
    </w:p>
    <w:p w:rsidR="00ED1198" w:rsidRDefault="00ED1198" w:rsidP="002B183F">
      <w:pPr>
        <w:spacing w:after="0" w:line="240" w:lineRule="auto"/>
        <w:jc w:val="both"/>
        <w:rPr>
          <w:rFonts w:ascii="Times New Roman" w:hAnsi="Times New Roman" w:cs="Times New Roman"/>
          <w:b/>
          <w:sz w:val="20"/>
          <w:szCs w:val="20"/>
        </w:rPr>
      </w:pPr>
    </w:p>
    <w:p w:rsidR="008E33CD" w:rsidRDefault="00755618" w:rsidP="002B183F">
      <w:pPr>
        <w:spacing w:after="0" w:line="240" w:lineRule="auto"/>
        <w:jc w:val="both"/>
        <w:rPr>
          <w:rFonts w:ascii="Times New Roman" w:hAnsi="Times New Roman" w:cs="Times New Roman"/>
          <w:b/>
          <w:sz w:val="20"/>
          <w:szCs w:val="20"/>
        </w:rPr>
      </w:pPr>
      <w:r>
        <w:rPr>
          <w:noProof/>
        </w:rPr>
        <mc:AlternateContent>
          <mc:Choice Requires="wps">
            <w:drawing>
              <wp:anchor distT="0" distB="0" distL="114300" distR="114300" simplePos="0" relativeHeight="251667456" behindDoc="0" locked="0" layoutInCell="1" allowOverlap="1" wp14:anchorId="0A60C6BA" wp14:editId="3DB49534">
                <wp:simplePos x="0" y="0"/>
                <wp:positionH relativeFrom="column">
                  <wp:posOffset>85725</wp:posOffset>
                </wp:positionH>
                <wp:positionV relativeFrom="paragraph">
                  <wp:posOffset>2057400</wp:posOffset>
                </wp:positionV>
                <wp:extent cx="4810125" cy="3886200"/>
                <wp:effectExtent l="0" t="0" r="0" b="0"/>
                <wp:wrapTopAndBottom/>
                <wp:docPr id="8" name="Rectangle 8"/>
                <wp:cNvGraphicFramePr/>
                <a:graphic xmlns:a="http://schemas.openxmlformats.org/drawingml/2006/main">
                  <a:graphicData uri="http://schemas.microsoft.com/office/word/2010/wordprocessingShape">
                    <wps:wsp>
                      <wps:cNvSpPr/>
                      <wps:spPr>
                        <a:xfrm>
                          <a:off x="0" y="0"/>
                          <a:ext cx="4810125" cy="38862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C7201" w:rsidRPr="00702C91" w:rsidRDefault="002C7201" w:rsidP="00A066BD">
                            <w:pPr>
                              <w:pStyle w:val="Caption"/>
                              <w:jc w:val="center"/>
                              <w:rPr>
                                <w:rFonts w:ascii="Times New Roman" w:hAnsi="Times New Roman" w:cs="Times New Roman"/>
                                <w:b/>
                                <w:bCs/>
                                <w:i w:val="0"/>
                                <w:iCs w:val="0"/>
                                <w:color w:val="000000" w:themeColor="text1"/>
                                <w:sz w:val="20"/>
                                <w:szCs w:val="20"/>
                              </w:rPr>
                            </w:pPr>
                            <w:r w:rsidRPr="00702C91">
                              <w:rPr>
                                <w:rFonts w:ascii="Times New Roman" w:hAnsi="Times New Roman" w:cs="Times New Roman"/>
                                <w:b/>
                                <w:bCs/>
                                <w:i w:val="0"/>
                                <w:iCs w:val="0"/>
                                <w:color w:val="000000" w:themeColor="text1"/>
                                <w:sz w:val="20"/>
                                <w:szCs w:val="20"/>
                              </w:rPr>
                              <w:t xml:space="preserve">Table </w:t>
                            </w:r>
                            <w:r w:rsidRPr="00702C91">
                              <w:rPr>
                                <w:rFonts w:ascii="Times New Roman" w:hAnsi="Times New Roman" w:cs="Times New Roman"/>
                                <w:b/>
                                <w:bCs/>
                                <w:i w:val="0"/>
                                <w:iCs w:val="0"/>
                                <w:color w:val="000000" w:themeColor="text1"/>
                                <w:sz w:val="20"/>
                                <w:szCs w:val="20"/>
                              </w:rPr>
                              <w:fldChar w:fldCharType="begin"/>
                            </w:r>
                            <w:r w:rsidRPr="00702C91">
                              <w:rPr>
                                <w:rFonts w:ascii="Times New Roman" w:hAnsi="Times New Roman" w:cs="Times New Roman"/>
                                <w:b/>
                                <w:bCs/>
                                <w:i w:val="0"/>
                                <w:iCs w:val="0"/>
                                <w:color w:val="000000" w:themeColor="text1"/>
                                <w:sz w:val="20"/>
                                <w:szCs w:val="20"/>
                              </w:rPr>
                              <w:instrText xml:space="preserve"> SEQ Table \* ARABIC </w:instrText>
                            </w:r>
                            <w:r w:rsidRPr="00702C91">
                              <w:rPr>
                                <w:rFonts w:ascii="Times New Roman" w:hAnsi="Times New Roman" w:cs="Times New Roman"/>
                                <w:b/>
                                <w:bCs/>
                                <w:i w:val="0"/>
                                <w:iCs w:val="0"/>
                                <w:color w:val="000000" w:themeColor="text1"/>
                                <w:sz w:val="20"/>
                                <w:szCs w:val="20"/>
                              </w:rPr>
                              <w:fldChar w:fldCharType="separate"/>
                            </w:r>
                            <w:r w:rsidRPr="00702C91">
                              <w:rPr>
                                <w:rFonts w:ascii="Times New Roman" w:hAnsi="Times New Roman" w:cs="Times New Roman"/>
                                <w:b/>
                                <w:bCs/>
                                <w:i w:val="0"/>
                                <w:iCs w:val="0"/>
                                <w:noProof/>
                                <w:color w:val="000000" w:themeColor="text1"/>
                                <w:sz w:val="20"/>
                                <w:szCs w:val="20"/>
                              </w:rPr>
                              <w:t>4</w:t>
                            </w:r>
                            <w:r w:rsidRPr="00702C91">
                              <w:rPr>
                                <w:rFonts w:ascii="Times New Roman" w:hAnsi="Times New Roman" w:cs="Times New Roman"/>
                                <w:b/>
                                <w:bCs/>
                                <w:i w:val="0"/>
                                <w:iCs w:val="0"/>
                                <w:color w:val="000000" w:themeColor="text1"/>
                                <w:sz w:val="20"/>
                                <w:szCs w:val="20"/>
                              </w:rPr>
                              <w:fldChar w:fldCharType="end"/>
                            </w:r>
                            <w:r w:rsidRPr="00702C91">
                              <w:rPr>
                                <w:rFonts w:ascii="Times New Roman" w:hAnsi="Times New Roman" w:cs="Times New Roman"/>
                                <w:b/>
                                <w:bCs/>
                                <w:i w:val="0"/>
                                <w:iCs w:val="0"/>
                                <w:color w:val="000000" w:themeColor="text1"/>
                                <w:sz w:val="20"/>
                                <w:szCs w:val="20"/>
                              </w:rPr>
                              <w:t>: Total Variance Explained</w:t>
                            </w:r>
                          </w:p>
                          <w:tbl>
                            <w:tblPr>
                              <w:tblW w:w="7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75"/>
                              <w:gridCol w:w="720"/>
                              <w:gridCol w:w="900"/>
                              <w:gridCol w:w="1260"/>
                              <w:gridCol w:w="810"/>
                              <w:gridCol w:w="1260"/>
                              <w:gridCol w:w="1170"/>
                            </w:tblGrid>
                            <w:tr w:rsidR="002C7201" w:rsidRPr="00702C91" w:rsidTr="00E91B42">
                              <w:trPr>
                                <w:cantSplit/>
                              </w:trPr>
                              <w:tc>
                                <w:tcPr>
                                  <w:tcW w:w="1075" w:type="dxa"/>
                                  <w:vMerge w:val="restart"/>
                                  <w:shd w:val="clear" w:color="auto" w:fill="FFFFFF"/>
                                  <w:vAlign w:val="center"/>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Component</w:t>
                                  </w:r>
                                </w:p>
                              </w:tc>
                              <w:tc>
                                <w:tcPr>
                                  <w:tcW w:w="2880" w:type="dxa"/>
                                  <w:gridSpan w:val="3"/>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Initial Eigenvalues</w:t>
                                  </w:r>
                                </w:p>
                              </w:tc>
                              <w:tc>
                                <w:tcPr>
                                  <w:tcW w:w="3240" w:type="dxa"/>
                                  <w:gridSpan w:val="3"/>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Extraction Sums of Squared Loadings</w:t>
                                  </w:r>
                                </w:p>
                              </w:tc>
                            </w:tr>
                            <w:tr w:rsidR="002C7201" w:rsidRPr="00702C91" w:rsidTr="00E91B42">
                              <w:trPr>
                                <w:cantSplit/>
                              </w:trPr>
                              <w:tc>
                                <w:tcPr>
                                  <w:tcW w:w="1075" w:type="dxa"/>
                                  <w:vMerge/>
                                  <w:shd w:val="clear" w:color="auto" w:fill="FFFFFF"/>
                                  <w:vAlign w:val="bottom"/>
                                </w:tcPr>
                                <w:p w:rsidR="002C7201" w:rsidRPr="00702C91" w:rsidRDefault="002C7201" w:rsidP="00646867">
                                  <w:pPr>
                                    <w:autoSpaceDE w:val="0"/>
                                    <w:autoSpaceDN w:val="0"/>
                                    <w:adjustRightInd w:val="0"/>
                                    <w:spacing w:after="120" w:line="240" w:lineRule="auto"/>
                                    <w:rPr>
                                      <w:rFonts w:ascii="Times New Roman" w:hAnsi="Times New Roman" w:cs="Times New Roman"/>
                                      <w:color w:val="000000"/>
                                      <w:sz w:val="20"/>
                                      <w:szCs w:val="20"/>
                                    </w:rPr>
                                  </w:pPr>
                                </w:p>
                              </w:tc>
                              <w:tc>
                                <w:tcPr>
                                  <w:tcW w:w="72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Total</w:t>
                                  </w:r>
                                </w:p>
                              </w:tc>
                              <w:tc>
                                <w:tcPr>
                                  <w:tcW w:w="90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 of Variance</w:t>
                                  </w:r>
                                </w:p>
                              </w:tc>
                              <w:tc>
                                <w:tcPr>
                                  <w:tcW w:w="126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Cumulative %</w:t>
                                  </w:r>
                                </w:p>
                              </w:tc>
                              <w:tc>
                                <w:tcPr>
                                  <w:tcW w:w="81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Total</w:t>
                                  </w:r>
                                </w:p>
                              </w:tc>
                              <w:tc>
                                <w:tcPr>
                                  <w:tcW w:w="126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 of Variance</w:t>
                                  </w:r>
                                </w:p>
                              </w:tc>
                              <w:tc>
                                <w:tcPr>
                                  <w:tcW w:w="117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Cumulative %</w:t>
                                  </w:r>
                                </w:p>
                              </w:tc>
                            </w:tr>
                            <w:tr w:rsidR="002C7201" w:rsidRPr="00702C91" w:rsidTr="00E91B42">
                              <w:trPr>
                                <w:cantSplit/>
                                <w:trHeight w:val="275"/>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1</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3.704</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41.150</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41.150</w:t>
                                  </w:r>
                                </w:p>
                              </w:tc>
                              <w:tc>
                                <w:tcPr>
                                  <w:tcW w:w="81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3.704</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41.150</w:t>
                                  </w:r>
                                </w:p>
                              </w:tc>
                              <w:tc>
                                <w:tcPr>
                                  <w:tcW w:w="117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41.150</w:t>
                                  </w: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2</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1.415</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15.721</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56.871</w:t>
                                  </w:r>
                                </w:p>
                              </w:tc>
                              <w:tc>
                                <w:tcPr>
                                  <w:tcW w:w="81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1.415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15.721</w:t>
                                  </w:r>
                                </w:p>
                              </w:tc>
                              <w:tc>
                                <w:tcPr>
                                  <w:tcW w:w="117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56.871</w:t>
                                  </w: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3</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1.174</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13.045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69.916</w:t>
                                  </w:r>
                                </w:p>
                              </w:tc>
                              <w:tc>
                                <w:tcPr>
                                  <w:tcW w:w="81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1.174</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13.045</w:t>
                                  </w:r>
                                </w:p>
                              </w:tc>
                              <w:tc>
                                <w:tcPr>
                                  <w:tcW w:w="117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69.916</w:t>
                                  </w: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4</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.746</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8.285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78.201</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5</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.601</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6.675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84.876</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6</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.411</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4.565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89.441</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7</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.346</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3.845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93.287</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8</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.328</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3.648</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96.935</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9</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.276</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3.065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100.000</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bl>
                          <w:p w:rsidR="002C7201" w:rsidRPr="00702C91" w:rsidRDefault="002C7201" w:rsidP="00A066BD">
                            <w:pPr>
                              <w:spacing w:after="0" w:line="360" w:lineRule="auto"/>
                              <w:jc w:val="center"/>
                              <w:rPr>
                                <w:rFonts w:ascii="Times New Roman" w:hAnsi="Times New Roman" w:cs="Times New Roman"/>
                                <w:color w:val="000000" w:themeColor="text1"/>
                                <w:sz w:val="20"/>
                                <w:szCs w:val="20"/>
                              </w:rPr>
                            </w:pPr>
                            <w:r w:rsidRPr="00702C91">
                              <w:rPr>
                                <w:rFonts w:ascii="Times New Roman" w:hAnsi="Times New Roman" w:cs="Times New Roman"/>
                                <w:color w:val="000000" w:themeColor="text1"/>
                                <w:sz w:val="20"/>
                                <w:szCs w:val="20"/>
                              </w:rPr>
                              <w:t>Source: Survey Data (2017)</w:t>
                            </w:r>
                          </w:p>
                          <w:p w:rsidR="002C7201" w:rsidRPr="00702C91" w:rsidRDefault="002C7201" w:rsidP="00E91B42">
                            <w:pPr>
                              <w:rPr>
                                <w:sz w:val="20"/>
                                <w:szCs w:val="20"/>
                                <w:lang w:bidi="si-LK"/>
                              </w:rPr>
                            </w:pPr>
                          </w:p>
                          <w:p w:rsidR="002C7201" w:rsidRPr="00702C91" w:rsidRDefault="002C7201" w:rsidP="00E91B42">
                            <w:pPr>
                              <w:rPr>
                                <w:color w:val="000000" w:themeColor="text1"/>
                                <w:lang w:bidi="si-LK"/>
                              </w:rPr>
                            </w:pPr>
                          </w:p>
                          <w:p w:rsidR="002C7201" w:rsidRPr="00123269" w:rsidRDefault="002C7201" w:rsidP="00E91B42">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60C6BA" id="Rectangle 8" o:spid="_x0000_s1062" style="position:absolute;left:0;text-align:left;margin-left:6.75pt;margin-top:162pt;width:378.75pt;height:30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" filled="f" stroked="f" strokeweight="1pt">
                <v:textbox>
                  <w:txbxContent>
                    <w:p w:rsidR="002C7201" w:rsidRPr="00702C91" w:rsidRDefault="002C7201" w:rsidP="00A066BD">
                      <w:pPr>
                        <w:pStyle w:val="Caption"/>
                        <w:jc w:val="center"/>
                        <w:rPr>
                          <w:rFonts w:ascii="Times New Roman" w:hAnsi="Times New Roman" w:cs="Times New Roman"/>
                          <w:b/>
                          <w:bCs/>
                          <w:i w:val="0"/>
                          <w:iCs w:val="0"/>
                          <w:color w:val="000000" w:themeColor="text1"/>
                          <w:sz w:val="20"/>
                          <w:szCs w:val="20"/>
                        </w:rPr>
                      </w:pPr>
                      <w:r w:rsidRPr="00702C91">
                        <w:rPr>
                          <w:rFonts w:ascii="Times New Roman" w:hAnsi="Times New Roman" w:cs="Times New Roman"/>
                          <w:b/>
                          <w:bCs/>
                          <w:i w:val="0"/>
                          <w:iCs w:val="0"/>
                          <w:color w:val="000000" w:themeColor="text1"/>
                          <w:sz w:val="20"/>
                          <w:szCs w:val="20"/>
                        </w:rPr>
                        <w:t xml:space="preserve">Table </w:t>
                      </w:r>
                      <w:r w:rsidRPr="00702C91">
                        <w:rPr>
                          <w:rFonts w:ascii="Times New Roman" w:hAnsi="Times New Roman" w:cs="Times New Roman"/>
                          <w:b/>
                          <w:bCs/>
                          <w:i w:val="0"/>
                          <w:iCs w:val="0"/>
                          <w:color w:val="000000" w:themeColor="text1"/>
                          <w:sz w:val="20"/>
                          <w:szCs w:val="20"/>
                        </w:rPr>
                        <w:fldChar w:fldCharType="begin"/>
                      </w:r>
                      <w:r w:rsidRPr="00702C91">
                        <w:rPr>
                          <w:rFonts w:ascii="Times New Roman" w:hAnsi="Times New Roman" w:cs="Times New Roman"/>
                          <w:b/>
                          <w:bCs/>
                          <w:i w:val="0"/>
                          <w:iCs w:val="0"/>
                          <w:color w:val="000000" w:themeColor="text1"/>
                          <w:sz w:val="20"/>
                          <w:szCs w:val="20"/>
                        </w:rPr>
                        <w:instrText xml:space="preserve"> SEQ Table \* ARABIC </w:instrText>
                      </w:r>
                      <w:r w:rsidRPr="00702C91">
                        <w:rPr>
                          <w:rFonts w:ascii="Times New Roman" w:hAnsi="Times New Roman" w:cs="Times New Roman"/>
                          <w:b/>
                          <w:bCs/>
                          <w:i w:val="0"/>
                          <w:iCs w:val="0"/>
                          <w:color w:val="000000" w:themeColor="text1"/>
                          <w:sz w:val="20"/>
                          <w:szCs w:val="20"/>
                        </w:rPr>
                        <w:fldChar w:fldCharType="separate"/>
                      </w:r>
                      <w:r w:rsidRPr="00702C91">
                        <w:rPr>
                          <w:rFonts w:ascii="Times New Roman" w:hAnsi="Times New Roman" w:cs="Times New Roman"/>
                          <w:b/>
                          <w:bCs/>
                          <w:i w:val="0"/>
                          <w:iCs w:val="0"/>
                          <w:noProof/>
                          <w:color w:val="000000" w:themeColor="text1"/>
                          <w:sz w:val="20"/>
                          <w:szCs w:val="20"/>
                        </w:rPr>
                        <w:t>4</w:t>
                      </w:r>
                      <w:r w:rsidRPr="00702C91">
                        <w:rPr>
                          <w:rFonts w:ascii="Times New Roman" w:hAnsi="Times New Roman" w:cs="Times New Roman"/>
                          <w:b/>
                          <w:bCs/>
                          <w:i w:val="0"/>
                          <w:iCs w:val="0"/>
                          <w:color w:val="000000" w:themeColor="text1"/>
                          <w:sz w:val="20"/>
                          <w:szCs w:val="20"/>
                        </w:rPr>
                        <w:fldChar w:fldCharType="end"/>
                      </w:r>
                      <w:r w:rsidRPr="00702C91">
                        <w:rPr>
                          <w:rFonts w:ascii="Times New Roman" w:hAnsi="Times New Roman" w:cs="Times New Roman"/>
                          <w:b/>
                          <w:bCs/>
                          <w:i w:val="0"/>
                          <w:iCs w:val="0"/>
                          <w:color w:val="000000" w:themeColor="text1"/>
                          <w:sz w:val="20"/>
                          <w:szCs w:val="20"/>
                        </w:rPr>
                        <w:t>: Total Variance Explained</w:t>
                      </w:r>
                    </w:p>
                    <w:tbl>
                      <w:tblPr>
                        <w:tblW w:w="7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75"/>
                        <w:gridCol w:w="720"/>
                        <w:gridCol w:w="900"/>
                        <w:gridCol w:w="1260"/>
                        <w:gridCol w:w="810"/>
                        <w:gridCol w:w="1260"/>
                        <w:gridCol w:w="1170"/>
                      </w:tblGrid>
                      <w:tr w:rsidR="002C7201" w:rsidRPr="00702C91" w:rsidTr="00E91B42">
                        <w:trPr>
                          <w:cantSplit/>
                        </w:trPr>
                        <w:tc>
                          <w:tcPr>
                            <w:tcW w:w="1075" w:type="dxa"/>
                            <w:vMerge w:val="restart"/>
                            <w:shd w:val="clear" w:color="auto" w:fill="FFFFFF"/>
                            <w:vAlign w:val="center"/>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Component</w:t>
                            </w:r>
                          </w:p>
                        </w:tc>
                        <w:tc>
                          <w:tcPr>
                            <w:tcW w:w="2880" w:type="dxa"/>
                            <w:gridSpan w:val="3"/>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Initial Eigenvalues</w:t>
                            </w:r>
                          </w:p>
                        </w:tc>
                        <w:tc>
                          <w:tcPr>
                            <w:tcW w:w="3240" w:type="dxa"/>
                            <w:gridSpan w:val="3"/>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Extraction Sums of Squared Loadings</w:t>
                            </w:r>
                          </w:p>
                        </w:tc>
                      </w:tr>
                      <w:tr w:rsidR="002C7201" w:rsidRPr="00702C91" w:rsidTr="00E91B42">
                        <w:trPr>
                          <w:cantSplit/>
                        </w:trPr>
                        <w:tc>
                          <w:tcPr>
                            <w:tcW w:w="1075" w:type="dxa"/>
                            <w:vMerge/>
                            <w:shd w:val="clear" w:color="auto" w:fill="FFFFFF"/>
                            <w:vAlign w:val="bottom"/>
                          </w:tcPr>
                          <w:p w:rsidR="002C7201" w:rsidRPr="00702C91" w:rsidRDefault="002C7201" w:rsidP="00646867">
                            <w:pPr>
                              <w:autoSpaceDE w:val="0"/>
                              <w:autoSpaceDN w:val="0"/>
                              <w:adjustRightInd w:val="0"/>
                              <w:spacing w:after="120" w:line="240" w:lineRule="auto"/>
                              <w:rPr>
                                <w:rFonts w:ascii="Times New Roman" w:hAnsi="Times New Roman" w:cs="Times New Roman"/>
                                <w:color w:val="000000"/>
                                <w:sz w:val="20"/>
                                <w:szCs w:val="20"/>
                              </w:rPr>
                            </w:pPr>
                          </w:p>
                        </w:tc>
                        <w:tc>
                          <w:tcPr>
                            <w:tcW w:w="72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Total</w:t>
                            </w:r>
                          </w:p>
                        </w:tc>
                        <w:tc>
                          <w:tcPr>
                            <w:tcW w:w="90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 of Variance</w:t>
                            </w:r>
                          </w:p>
                        </w:tc>
                        <w:tc>
                          <w:tcPr>
                            <w:tcW w:w="126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Cumulative %</w:t>
                            </w:r>
                          </w:p>
                        </w:tc>
                        <w:tc>
                          <w:tcPr>
                            <w:tcW w:w="81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Total</w:t>
                            </w:r>
                          </w:p>
                        </w:tc>
                        <w:tc>
                          <w:tcPr>
                            <w:tcW w:w="126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 of Variance</w:t>
                            </w:r>
                          </w:p>
                        </w:tc>
                        <w:tc>
                          <w:tcPr>
                            <w:tcW w:w="1170" w:type="dxa"/>
                            <w:shd w:val="clear" w:color="auto" w:fill="FFFFFF"/>
                            <w:vAlign w:val="bottom"/>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Cumulative %</w:t>
                            </w:r>
                          </w:p>
                        </w:tc>
                      </w:tr>
                      <w:tr w:rsidR="002C7201" w:rsidRPr="00702C91" w:rsidTr="00E91B42">
                        <w:trPr>
                          <w:cantSplit/>
                          <w:trHeight w:val="275"/>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1</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3.704</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41.150</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41.150</w:t>
                            </w:r>
                          </w:p>
                        </w:tc>
                        <w:tc>
                          <w:tcPr>
                            <w:tcW w:w="81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3.704</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41.150</w:t>
                            </w:r>
                          </w:p>
                        </w:tc>
                        <w:tc>
                          <w:tcPr>
                            <w:tcW w:w="117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41.150</w:t>
                            </w: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2</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1.415</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15.721</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56.871</w:t>
                            </w:r>
                          </w:p>
                        </w:tc>
                        <w:tc>
                          <w:tcPr>
                            <w:tcW w:w="81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1.415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15.721</w:t>
                            </w:r>
                          </w:p>
                        </w:tc>
                        <w:tc>
                          <w:tcPr>
                            <w:tcW w:w="117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56.871</w:t>
                            </w: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3</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1.174</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13.045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69.916</w:t>
                            </w:r>
                          </w:p>
                        </w:tc>
                        <w:tc>
                          <w:tcPr>
                            <w:tcW w:w="81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1.174</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13.045</w:t>
                            </w:r>
                          </w:p>
                        </w:tc>
                        <w:tc>
                          <w:tcPr>
                            <w:tcW w:w="117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69.916</w:t>
                            </w: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4</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.746</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8.285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78.201</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5</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.601</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6.675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84.876</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6</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.411</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4.565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89.441</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7</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.346</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3.845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93.287</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8</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.328</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3.648</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96.935</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r w:rsidR="002C7201" w:rsidRPr="00702C91" w:rsidTr="00E91B42">
                        <w:trPr>
                          <w:cantSplit/>
                        </w:trPr>
                        <w:tc>
                          <w:tcPr>
                            <w:tcW w:w="1075" w:type="dxa"/>
                            <w:shd w:val="clear" w:color="auto" w:fill="FFFFFF"/>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9</w:t>
                            </w:r>
                          </w:p>
                        </w:tc>
                        <w:tc>
                          <w:tcPr>
                            <w:tcW w:w="72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.276</w:t>
                            </w:r>
                          </w:p>
                        </w:tc>
                        <w:tc>
                          <w:tcPr>
                            <w:tcW w:w="90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3.065</w:t>
                            </w:r>
                          </w:p>
                        </w:tc>
                        <w:tc>
                          <w:tcPr>
                            <w:tcW w:w="1260" w:type="dxa"/>
                            <w:shd w:val="clear" w:color="auto" w:fill="FFFFFF"/>
                            <w:vAlign w:val="center"/>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100.000</w:t>
                            </w:r>
                          </w:p>
                        </w:tc>
                        <w:tc>
                          <w:tcPr>
                            <w:tcW w:w="81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26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c>
                          <w:tcPr>
                            <w:tcW w:w="1170" w:type="dxa"/>
                            <w:shd w:val="clear" w:color="auto" w:fill="FFFFFF"/>
                            <w:vAlign w:val="center"/>
                          </w:tcPr>
                          <w:p w:rsidR="002C7201" w:rsidRPr="00702C91" w:rsidRDefault="002C7201" w:rsidP="00646867">
                            <w:pPr>
                              <w:autoSpaceDE w:val="0"/>
                              <w:autoSpaceDN w:val="0"/>
                              <w:adjustRightInd w:val="0"/>
                              <w:spacing w:after="120" w:line="240" w:lineRule="auto"/>
                              <w:rPr>
                                <w:rFonts w:ascii="Times New Roman" w:hAnsi="Times New Roman" w:cs="Times New Roman"/>
                                <w:sz w:val="20"/>
                                <w:szCs w:val="20"/>
                              </w:rPr>
                            </w:pPr>
                          </w:p>
                        </w:tc>
                      </w:tr>
                    </w:tbl>
                    <w:p w:rsidR="002C7201" w:rsidRPr="00702C91" w:rsidRDefault="002C7201" w:rsidP="00A066BD">
                      <w:pPr>
                        <w:spacing w:after="0" w:line="360" w:lineRule="auto"/>
                        <w:jc w:val="center"/>
                        <w:rPr>
                          <w:rFonts w:ascii="Times New Roman" w:hAnsi="Times New Roman" w:cs="Times New Roman"/>
                          <w:color w:val="000000" w:themeColor="text1"/>
                          <w:sz w:val="20"/>
                          <w:szCs w:val="20"/>
                        </w:rPr>
                      </w:pPr>
                      <w:r w:rsidRPr="00702C91">
                        <w:rPr>
                          <w:rFonts w:ascii="Times New Roman" w:hAnsi="Times New Roman" w:cs="Times New Roman"/>
                          <w:color w:val="000000" w:themeColor="text1"/>
                          <w:sz w:val="20"/>
                          <w:szCs w:val="20"/>
                        </w:rPr>
                        <w:t>Source: Survey Data (2017)</w:t>
                      </w:r>
                    </w:p>
                    <w:p w:rsidR="002C7201" w:rsidRPr="00702C91" w:rsidRDefault="002C7201" w:rsidP="00E91B42">
                      <w:pPr>
                        <w:rPr>
                          <w:sz w:val="20"/>
                          <w:szCs w:val="20"/>
                          <w:lang w:bidi="si-LK"/>
                        </w:rPr>
                      </w:pPr>
                    </w:p>
                    <w:p w:rsidR="002C7201" w:rsidRPr="00702C91" w:rsidRDefault="002C7201" w:rsidP="00E91B42">
                      <w:pPr>
                        <w:rPr>
                          <w:color w:val="000000" w:themeColor="text1"/>
                          <w:lang w:bidi="si-LK"/>
                        </w:rPr>
                      </w:pPr>
                    </w:p>
                    <w:p w:rsidR="002C7201" w:rsidRPr="00123269" w:rsidRDefault="002C7201" w:rsidP="00E91B42">
                      <w:pPr>
                        <w:rPr>
                          <w:color w:val="000000" w:themeColor="text1"/>
                        </w:rPr>
                      </w:pPr>
                    </w:p>
                  </w:txbxContent>
                </v:textbox>
                <w10:wrap type="topAndBottom"/>
              </v:rect>
            </w:pict>
          </mc:Fallback>
        </mc:AlternateContent>
      </w:r>
      <w:r w:rsidR="00550AF6" w:rsidRPr="00550AF6">
        <w:rPr>
          <w:rFonts w:ascii="Times New Roman" w:hAnsi="Times New Roman" w:cs="Times New Roman"/>
          <w:b/>
          <w:sz w:val="20"/>
          <w:szCs w:val="20"/>
        </w:rPr>
        <w:t>Findings from Exploratory Factor Analysis</w:t>
      </w:r>
    </w:p>
    <w:p w:rsidR="00550AF6" w:rsidRDefault="00550AF6" w:rsidP="002B183F">
      <w:pPr>
        <w:spacing w:after="0" w:line="240" w:lineRule="auto"/>
        <w:jc w:val="both"/>
        <w:rPr>
          <w:rFonts w:ascii="Times New Roman" w:hAnsi="Times New Roman" w:cs="Times New Roman"/>
          <w:b/>
          <w:sz w:val="20"/>
          <w:szCs w:val="20"/>
        </w:rPr>
      </w:pPr>
    </w:p>
    <w:p w:rsidR="00010B27" w:rsidRPr="00755618" w:rsidRDefault="00550AF6" w:rsidP="003836B3">
      <w:pPr>
        <w:spacing w:line="240" w:lineRule="auto"/>
        <w:jc w:val="both"/>
        <w:rPr>
          <w:rFonts w:ascii="Times New Roman" w:hAnsi="Times New Roman" w:cs="Times New Roman"/>
          <w:sz w:val="20"/>
          <w:szCs w:val="20"/>
        </w:rPr>
      </w:pPr>
      <w:r w:rsidRPr="00550AF6">
        <w:rPr>
          <w:rFonts w:ascii="Times New Roman" w:hAnsi="Times New Roman" w:cs="Times New Roman"/>
          <w:sz w:val="20"/>
          <w:szCs w:val="20"/>
        </w:rPr>
        <w:t xml:space="preserve">Reliability was ensured of the data collected. As the depiction table 01, the Cronbach’s Alpha value was 0.853. As mentioned by Nulty (2010) this study could be treated as reliable because the alpha value exceeds 0.70. Moreover, the same author attest that taking alpha value at least 0.50, it is sufficient amount for the </w:t>
      </w:r>
      <w:r w:rsidRPr="00550AF6">
        <w:rPr>
          <w:rFonts w:ascii="Times New Roman" w:hAnsi="Times New Roman" w:cs="Times New Roman"/>
          <w:sz w:val="20"/>
          <w:szCs w:val="20"/>
        </w:rPr>
        <w:lastRenderedPageBreak/>
        <w:t>further implementation of an exploratory study.</w:t>
      </w:r>
    </w:p>
    <w:p w:rsidR="00550AF6" w:rsidRDefault="00550AF6" w:rsidP="00550AF6">
      <w:pPr>
        <w:spacing w:after="0" w:line="240" w:lineRule="auto"/>
        <w:jc w:val="both"/>
        <w:rPr>
          <w:rFonts w:ascii="Times New Roman" w:hAnsi="Times New Roman" w:cs="Times New Roman"/>
          <w:sz w:val="20"/>
          <w:szCs w:val="20"/>
        </w:rPr>
      </w:pPr>
      <w:r w:rsidRPr="00550AF6">
        <w:rPr>
          <w:rFonts w:ascii="Times New Roman" w:hAnsi="Times New Roman" w:cs="Times New Roman"/>
          <w:sz w:val="20"/>
          <w:szCs w:val="20"/>
        </w:rPr>
        <w:t xml:space="preserve">It is noted that </w:t>
      </w:r>
      <w:r w:rsidRPr="00550AF6">
        <w:rPr>
          <w:rFonts w:ascii="Times New Roman" w:hAnsi="Times New Roman" w:cs="Times New Roman"/>
          <w:b/>
          <w:bCs/>
          <w:sz w:val="20"/>
          <w:szCs w:val="20"/>
        </w:rPr>
        <w:t>only 9 determinants are statistically measurable</w:t>
      </w:r>
      <w:r w:rsidRPr="00550AF6">
        <w:rPr>
          <w:rFonts w:ascii="Times New Roman" w:hAnsi="Times New Roman" w:cs="Times New Roman"/>
          <w:sz w:val="20"/>
          <w:szCs w:val="20"/>
        </w:rPr>
        <w:t xml:space="preserve"> which applied the Exploratory Factor Analysis (EFA). Another 3 factors are measurable but unable to apply the Exploratory Factor Analysis. Cronbach’s Alpha values of each statistically measurable determinant are presented by table 02. Mean values were taken for the analysis of each determinant. Here, the reliability of 9</w:t>
      </w:r>
      <w:r w:rsidRPr="00550AF6">
        <w:rPr>
          <w:rFonts w:ascii="Times New Roman" w:hAnsi="Times New Roman" w:cs="Times New Roman"/>
          <w:sz w:val="20"/>
          <w:szCs w:val="20"/>
          <w:vertAlign w:val="superscript"/>
        </w:rPr>
        <w:t>th</w:t>
      </w:r>
      <w:r w:rsidRPr="00550AF6">
        <w:rPr>
          <w:rFonts w:ascii="Times New Roman" w:hAnsi="Times New Roman" w:cs="Times New Roman"/>
          <w:sz w:val="20"/>
          <w:szCs w:val="20"/>
        </w:rPr>
        <w:t xml:space="preserve"> factor (Job Security) is not ensured because it is below 0.50. Construct validity was ensured KMO measure of sample adequacy which was 0.751 as depicting under table 03. 69.9% of the total variance was explained by first three components. It is presented under table 04. Even though 9 statistically measurable determinants finalized, the component matrix classified all the determinants only under component 01 and component 03. Under the component 02, </w:t>
      </w:r>
      <w:r w:rsidRPr="00550AF6">
        <w:rPr>
          <w:rFonts w:ascii="Times New Roman" w:hAnsi="Times New Roman" w:cs="Times New Roman"/>
          <w:sz w:val="20"/>
          <w:szCs w:val="20"/>
        </w:rPr>
        <w:lastRenderedPageBreak/>
        <w:t>no any factor was loaded. The component matrix is presented under table 05.</w:t>
      </w:r>
    </w:p>
    <w:p w:rsidR="00550AF6" w:rsidRDefault="00550AF6" w:rsidP="00550AF6">
      <w:pPr>
        <w:spacing w:after="0" w:line="240" w:lineRule="auto"/>
        <w:jc w:val="both"/>
        <w:rPr>
          <w:rFonts w:ascii="Times New Roman" w:hAnsi="Times New Roman" w:cs="Times New Roman"/>
          <w:sz w:val="20"/>
          <w:szCs w:val="20"/>
        </w:rPr>
      </w:pPr>
    </w:p>
    <w:p w:rsidR="00550AF6" w:rsidRDefault="00550AF6" w:rsidP="00550AF6">
      <w:pPr>
        <w:spacing w:after="0" w:line="240" w:lineRule="auto"/>
        <w:jc w:val="both"/>
        <w:rPr>
          <w:rFonts w:ascii="Times New Roman" w:hAnsi="Times New Roman" w:cs="Times New Roman"/>
          <w:b/>
          <w:sz w:val="20"/>
          <w:szCs w:val="20"/>
        </w:rPr>
      </w:pPr>
      <w:r w:rsidRPr="00550AF6">
        <w:rPr>
          <w:rFonts w:ascii="Times New Roman" w:hAnsi="Times New Roman" w:cs="Times New Roman"/>
          <w:b/>
          <w:sz w:val="20"/>
          <w:szCs w:val="20"/>
        </w:rPr>
        <w:t>Finalizing the Determinants of Post – Retirement Employment in Sri Lanka</w:t>
      </w:r>
    </w:p>
    <w:p w:rsidR="00550AF6" w:rsidRDefault="00550AF6" w:rsidP="00550AF6">
      <w:pPr>
        <w:spacing w:after="0" w:line="240" w:lineRule="auto"/>
        <w:jc w:val="both"/>
        <w:rPr>
          <w:rFonts w:ascii="Times New Roman" w:hAnsi="Times New Roman" w:cs="Times New Roman"/>
          <w:b/>
          <w:sz w:val="20"/>
          <w:szCs w:val="20"/>
        </w:rPr>
      </w:pPr>
    </w:p>
    <w:p w:rsidR="00550AF6" w:rsidRPr="00550AF6" w:rsidRDefault="00550AF6" w:rsidP="00550AF6">
      <w:pPr>
        <w:spacing w:after="0" w:line="240" w:lineRule="auto"/>
        <w:jc w:val="both"/>
        <w:rPr>
          <w:rFonts w:ascii="Times New Roman" w:hAnsi="Times New Roman" w:cs="Times New Roman"/>
          <w:sz w:val="20"/>
          <w:szCs w:val="20"/>
        </w:rPr>
      </w:pPr>
      <w:r w:rsidRPr="00550AF6">
        <w:rPr>
          <w:rFonts w:ascii="Times New Roman" w:hAnsi="Times New Roman" w:cs="Times New Roman"/>
          <w:b/>
          <w:bCs/>
          <w:sz w:val="20"/>
          <w:szCs w:val="20"/>
        </w:rPr>
        <w:t>Component 01</w:t>
      </w:r>
      <w:r w:rsidRPr="00550AF6">
        <w:rPr>
          <w:rFonts w:ascii="Times New Roman" w:hAnsi="Times New Roman" w:cs="Times New Roman"/>
          <w:sz w:val="20"/>
          <w:szCs w:val="20"/>
        </w:rPr>
        <w:t xml:space="preserve"> was renamed as </w:t>
      </w:r>
      <w:r w:rsidRPr="00550AF6">
        <w:rPr>
          <w:rFonts w:ascii="Times New Roman" w:hAnsi="Times New Roman" w:cs="Times New Roman"/>
          <w:b/>
          <w:bCs/>
          <w:sz w:val="20"/>
          <w:szCs w:val="20"/>
        </w:rPr>
        <w:t xml:space="preserve">Late Career Meaningfulness. </w:t>
      </w:r>
      <w:r w:rsidRPr="00550AF6">
        <w:rPr>
          <w:rFonts w:ascii="Times New Roman" w:hAnsi="Times New Roman" w:cs="Times New Roman"/>
          <w:sz w:val="20"/>
          <w:szCs w:val="20"/>
        </w:rPr>
        <w:t xml:space="preserve">There are three types of meaning of working called social meaning, personal meaning and financial meaning of work </w:t>
      </w:r>
      <w:sdt>
        <w:sdtPr>
          <w:rPr>
            <w:rFonts w:ascii="Times New Roman" w:hAnsi="Times New Roman" w:cs="Times New Roman"/>
            <w:sz w:val="20"/>
            <w:szCs w:val="20"/>
          </w:rPr>
          <w:id w:val="2019347145"/>
          <w:citation/>
        </w:sdtPr>
        <w:sdtEndPr/>
        <w:sdtContent>
          <w:r w:rsidRPr="00550AF6">
            <w:rPr>
              <w:rFonts w:ascii="Times New Roman" w:hAnsi="Times New Roman" w:cs="Times New Roman"/>
              <w:sz w:val="20"/>
              <w:szCs w:val="20"/>
            </w:rPr>
            <w:fldChar w:fldCharType="begin"/>
          </w:r>
          <w:r w:rsidRPr="00550AF6">
            <w:rPr>
              <w:rFonts w:ascii="Times New Roman" w:hAnsi="Times New Roman" w:cs="Times New Roman"/>
              <w:sz w:val="20"/>
              <w:szCs w:val="20"/>
            </w:rPr>
            <w:instrText xml:space="preserve"> CITATION The16 \l 1033 </w:instrText>
          </w:r>
          <w:r w:rsidRPr="00550AF6">
            <w:rPr>
              <w:rFonts w:ascii="Times New Roman" w:hAnsi="Times New Roman" w:cs="Times New Roman"/>
              <w:sz w:val="20"/>
              <w:szCs w:val="20"/>
            </w:rPr>
            <w:fldChar w:fldCharType="separate"/>
          </w:r>
          <w:r w:rsidRPr="00550AF6">
            <w:rPr>
              <w:rFonts w:ascii="Times New Roman" w:hAnsi="Times New Roman" w:cs="Times New Roman"/>
              <w:noProof/>
              <w:sz w:val="20"/>
              <w:szCs w:val="20"/>
            </w:rPr>
            <w:t>(Fasbender, Wang, Voltmer, &amp; Deller, 2015)</w:t>
          </w:r>
          <w:r w:rsidRPr="00550AF6">
            <w:rPr>
              <w:rFonts w:ascii="Times New Roman" w:hAnsi="Times New Roman" w:cs="Times New Roman"/>
              <w:sz w:val="20"/>
              <w:szCs w:val="20"/>
            </w:rPr>
            <w:fldChar w:fldCharType="end"/>
          </w:r>
        </w:sdtContent>
      </w:sdt>
      <w:r w:rsidRPr="00550AF6">
        <w:rPr>
          <w:rFonts w:ascii="Times New Roman" w:hAnsi="Times New Roman" w:cs="Times New Roman"/>
          <w:sz w:val="20"/>
          <w:szCs w:val="20"/>
        </w:rPr>
        <w:t>. All the factors loaded under component 01 are covered by those three meanings of work. Therefore, the author of the current study exclusively applied the name, Late Career Meaningfulness for this component.</w:t>
      </w:r>
    </w:p>
    <w:p w:rsidR="00550AF6" w:rsidRPr="00550AF6" w:rsidRDefault="003836B3" w:rsidP="00550AF6">
      <w:pPr>
        <w:spacing w:after="0" w:line="240" w:lineRule="auto"/>
        <w:jc w:val="both"/>
        <w:rPr>
          <w:rFonts w:ascii="Times New Roman" w:hAnsi="Times New Roman" w:cs="Times New Roman"/>
          <w:sz w:val="20"/>
          <w:szCs w:val="20"/>
        </w:rPr>
      </w:pPr>
      <w:r>
        <w:rPr>
          <w:noProof/>
        </w:rPr>
        <mc:AlternateContent>
          <mc:Choice Requires="wps">
            <w:drawing>
              <wp:anchor distT="0" distB="0" distL="114300" distR="114300" simplePos="0" relativeHeight="251669504" behindDoc="0" locked="0" layoutInCell="1" allowOverlap="1" wp14:anchorId="51E1AA3A" wp14:editId="594C4843">
                <wp:simplePos x="0" y="0"/>
                <wp:positionH relativeFrom="margin">
                  <wp:align>left</wp:align>
                </wp:positionH>
                <wp:positionV relativeFrom="paragraph">
                  <wp:posOffset>285623</wp:posOffset>
                </wp:positionV>
                <wp:extent cx="4791075" cy="4467225"/>
                <wp:effectExtent l="0" t="0" r="0" b="0"/>
                <wp:wrapTopAndBottom/>
                <wp:docPr id="9" name="Rectangle 9"/>
                <wp:cNvGraphicFramePr/>
                <a:graphic xmlns:a="http://schemas.openxmlformats.org/drawingml/2006/main">
                  <a:graphicData uri="http://schemas.microsoft.com/office/word/2010/wordprocessingShape">
                    <wps:wsp>
                      <wps:cNvSpPr/>
                      <wps:spPr>
                        <a:xfrm>
                          <a:off x="0" y="0"/>
                          <a:ext cx="4791075" cy="44672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C7201" w:rsidRPr="00702C91" w:rsidRDefault="002C7201" w:rsidP="00A066BD">
                            <w:pPr>
                              <w:pStyle w:val="Caption"/>
                              <w:jc w:val="center"/>
                              <w:rPr>
                                <w:rFonts w:ascii="Times New Roman" w:hAnsi="Times New Roman" w:cs="Times New Roman"/>
                                <w:b/>
                                <w:bCs/>
                                <w:i w:val="0"/>
                                <w:iCs w:val="0"/>
                                <w:color w:val="000000" w:themeColor="text1"/>
                                <w:sz w:val="20"/>
                                <w:szCs w:val="20"/>
                              </w:rPr>
                            </w:pPr>
                            <w:r w:rsidRPr="00702C91">
                              <w:rPr>
                                <w:rFonts w:ascii="Times New Roman" w:hAnsi="Times New Roman" w:cs="Times New Roman"/>
                                <w:b/>
                                <w:bCs/>
                                <w:i w:val="0"/>
                                <w:iCs w:val="0"/>
                                <w:color w:val="000000" w:themeColor="text1"/>
                                <w:sz w:val="20"/>
                                <w:szCs w:val="20"/>
                              </w:rPr>
                              <w:t xml:space="preserve">Table </w:t>
                            </w:r>
                            <w:r w:rsidRPr="00702C91">
                              <w:rPr>
                                <w:rFonts w:ascii="Times New Roman" w:hAnsi="Times New Roman" w:cs="Times New Roman"/>
                                <w:b/>
                                <w:bCs/>
                                <w:i w:val="0"/>
                                <w:iCs w:val="0"/>
                                <w:color w:val="000000" w:themeColor="text1"/>
                                <w:sz w:val="20"/>
                                <w:szCs w:val="20"/>
                              </w:rPr>
                              <w:fldChar w:fldCharType="begin"/>
                            </w:r>
                            <w:r w:rsidRPr="00702C91">
                              <w:rPr>
                                <w:rFonts w:ascii="Times New Roman" w:hAnsi="Times New Roman" w:cs="Times New Roman"/>
                                <w:b/>
                                <w:bCs/>
                                <w:i w:val="0"/>
                                <w:iCs w:val="0"/>
                                <w:color w:val="000000" w:themeColor="text1"/>
                                <w:sz w:val="20"/>
                                <w:szCs w:val="20"/>
                              </w:rPr>
                              <w:instrText xml:space="preserve"> SEQ Table \* ARABIC </w:instrText>
                            </w:r>
                            <w:r w:rsidRPr="00702C91">
                              <w:rPr>
                                <w:rFonts w:ascii="Times New Roman" w:hAnsi="Times New Roman" w:cs="Times New Roman"/>
                                <w:b/>
                                <w:bCs/>
                                <w:i w:val="0"/>
                                <w:iCs w:val="0"/>
                                <w:color w:val="000000" w:themeColor="text1"/>
                                <w:sz w:val="20"/>
                                <w:szCs w:val="20"/>
                              </w:rPr>
                              <w:fldChar w:fldCharType="separate"/>
                            </w:r>
                            <w:r w:rsidRPr="00702C91">
                              <w:rPr>
                                <w:rFonts w:ascii="Times New Roman" w:hAnsi="Times New Roman" w:cs="Times New Roman"/>
                                <w:b/>
                                <w:bCs/>
                                <w:i w:val="0"/>
                                <w:iCs w:val="0"/>
                                <w:noProof/>
                                <w:color w:val="000000" w:themeColor="text1"/>
                                <w:sz w:val="20"/>
                                <w:szCs w:val="20"/>
                              </w:rPr>
                              <w:t>5</w:t>
                            </w:r>
                            <w:r w:rsidRPr="00702C91">
                              <w:rPr>
                                <w:rFonts w:ascii="Times New Roman" w:hAnsi="Times New Roman" w:cs="Times New Roman"/>
                                <w:b/>
                                <w:bCs/>
                                <w:i w:val="0"/>
                                <w:iCs w:val="0"/>
                                <w:color w:val="000000" w:themeColor="text1"/>
                                <w:sz w:val="20"/>
                                <w:szCs w:val="20"/>
                              </w:rPr>
                              <w:fldChar w:fldCharType="end"/>
                            </w:r>
                            <w:r w:rsidRPr="00702C91">
                              <w:rPr>
                                <w:rFonts w:ascii="Times New Roman" w:hAnsi="Times New Roman" w:cs="Times New Roman"/>
                                <w:b/>
                                <w:bCs/>
                                <w:i w:val="0"/>
                                <w:iCs w:val="0"/>
                                <w:color w:val="000000" w:themeColor="text1"/>
                                <w:sz w:val="20"/>
                                <w:szCs w:val="20"/>
                              </w:rPr>
                              <w:t>: Component Matrix with Factor Loading Values</w:t>
                            </w:r>
                          </w:p>
                          <w:tbl>
                            <w:tblPr>
                              <w:tblStyle w:val="TableGrid"/>
                              <w:tblW w:w="7285" w:type="dxa"/>
                              <w:tblLayout w:type="fixed"/>
                              <w:tblLook w:val="0000" w:firstRow="0" w:lastRow="0" w:firstColumn="0" w:lastColumn="0" w:noHBand="0" w:noVBand="0"/>
                            </w:tblPr>
                            <w:tblGrid>
                              <w:gridCol w:w="4675"/>
                              <w:gridCol w:w="810"/>
                              <w:gridCol w:w="900"/>
                              <w:gridCol w:w="900"/>
                            </w:tblGrid>
                            <w:tr w:rsidR="002C7201" w:rsidRPr="00702C91" w:rsidTr="00346754">
                              <w:trPr>
                                <w:trHeight w:val="323"/>
                              </w:trPr>
                              <w:tc>
                                <w:tcPr>
                                  <w:tcW w:w="4675" w:type="dxa"/>
                                  <w:vMerge w:val="restart"/>
                                </w:tcPr>
                                <w:p w:rsidR="002C7201" w:rsidRPr="00702C91" w:rsidRDefault="002C7201" w:rsidP="00646867">
                                  <w:pPr>
                                    <w:autoSpaceDE w:val="0"/>
                                    <w:autoSpaceDN w:val="0"/>
                                    <w:adjustRightInd w:val="0"/>
                                    <w:spacing w:after="120"/>
                                    <w:rPr>
                                      <w:rFonts w:ascii="Times New Roman" w:hAnsi="Times New Roman" w:cs="Times New Roman"/>
                                      <w:sz w:val="20"/>
                                      <w:szCs w:val="20"/>
                                    </w:rPr>
                                  </w:pPr>
                                </w:p>
                              </w:tc>
                              <w:tc>
                                <w:tcPr>
                                  <w:tcW w:w="2610" w:type="dxa"/>
                                  <w:gridSpan w:val="3"/>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Component</w:t>
                                  </w:r>
                                </w:p>
                              </w:tc>
                            </w:tr>
                            <w:tr w:rsidR="002C7201" w:rsidRPr="00702C91" w:rsidTr="00346754">
                              <w:trPr>
                                <w:trHeight w:val="233"/>
                              </w:trPr>
                              <w:tc>
                                <w:tcPr>
                                  <w:tcW w:w="4675" w:type="dxa"/>
                                  <w:vMerge/>
                                </w:tcPr>
                                <w:p w:rsidR="002C7201" w:rsidRPr="00702C91" w:rsidRDefault="002C7201" w:rsidP="00646867">
                                  <w:pPr>
                                    <w:autoSpaceDE w:val="0"/>
                                    <w:autoSpaceDN w:val="0"/>
                                    <w:adjustRightInd w:val="0"/>
                                    <w:spacing w:after="120"/>
                                    <w:rPr>
                                      <w:rFonts w:ascii="Times New Roman" w:hAnsi="Times New Roman" w:cs="Times New Roman"/>
                                      <w:color w:val="000000"/>
                                      <w:sz w:val="20"/>
                                      <w:szCs w:val="20"/>
                                    </w:rPr>
                                  </w:pPr>
                                </w:p>
                              </w:tc>
                              <w:tc>
                                <w:tcPr>
                                  <w:tcW w:w="810" w:type="dxa"/>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1</w:t>
                                  </w:r>
                                </w:p>
                              </w:tc>
                              <w:tc>
                                <w:tcPr>
                                  <w:tcW w:w="900" w:type="dxa"/>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2</w:t>
                                  </w:r>
                                </w:p>
                              </w:tc>
                              <w:tc>
                                <w:tcPr>
                                  <w:tcW w:w="900" w:type="dxa"/>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3</w:t>
                                  </w:r>
                                </w:p>
                              </w:tc>
                            </w:tr>
                            <w:tr w:rsidR="002C7201" w:rsidRPr="00702C91" w:rsidTr="00346754">
                              <w:trPr>
                                <w:trHeight w:val="503"/>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01 - Expertise</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0.709</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-0.343</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0.028</w:t>
                                  </w:r>
                                </w:p>
                              </w:tc>
                            </w:tr>
                            <w:tr w:rsidR="002C7201" w:rsidRPr="00702C91" w:rsidTr="00346754">
                              <w:trPr>
                                <w:trHeight w:val="530"/>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02 - Motivation for Post - Retirement Employment</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0.698</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-0.450</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-0.272</w:t>
                                  </w:r>
                                </w:p>
                              </w:tc>
                            </w:tr>
                            <w:tr w:rsidR="002C7201" w:rsidRPr="00702C91" w:rsidTr="00346754">
                              <w:trPr>
                                <w:trHeight w:val="530"/>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03 - Post - Retirement Education</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0.574</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-0.443</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-0.405</w:t>
                                  </w:r>
                                </w:p>
                              </w:tc>
                            </w:tr>
                            <w:tr w:rsidR="002C7201" w:rsidRPr="00702C91" w:rsidTr="00346754">
                              <w:trPr>
                                <w:trHeight w:val="557"/>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04 - Self - Actualization</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0.717</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-0.263</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0.418</w:t>
                                  </w:r>
                                </w:p>
                              </w:tc>
                            </w:tr>
                            <w:tr w:rsidR="002C7201" w:rsidRPr="00702C91" w:rsidTr="00346754">
                              <w:trPr>
                                <w:trHeight w:val="458"/>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05 - Health Conditions</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0.396</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0.285</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0.606</w:t>
                                  </w:r>
                                </w:p>
                              </w:tc>
                            </w:tr>
                            <w:tr w:rsidR="002C7201" w:rsidRPr="00702C91" w:rsidTr="00346754">
                              <w:trPr>
                                <w:trHeight w:val="512"/>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06 - Occupational Demands</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0.668</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-0.111</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0.433</w:t>
                                  </w:r>
                                </w:p>
                              </w:tc>
                            </w:tr>
                            <w:tr w:rsidR="002C7201" w:rsidRPr="00702C91" w:rsidTr="00346754">
                              <w:trPr>
                                <w:trHeight w:val="458"/>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08 - Financial Sustainability</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0.654</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0.546</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-0.192</w:t>
                                  </w:r>
                                </w:p>
                              </w:tc>
                            </w:tr>
                            <w:tr w:rsidR="002C7201" w:rsidRPr="00702C91" w:rsidTr="00346754">
                              <w:trPr>
                                <w:trHeight w:val="422"/>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09 - Intentions of the Employer</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0.664</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0.516</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-0.067</w:t>
                                  </w:r>
                                </w:p>
                              </w:tc>
                            </w:tr>
                            <w:tr w:rsidR="002C7201" w:rsidRPr="00702C91" w:rsidTr="00346754">
                              <w:trPr>
                                <w:trHeight w:val="512"/>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13_ Job Security</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0.632</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0.414</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-0.405</w:t>
                                  </w:r>
                                </w:p>
                              </w:tc>
                            </w:tr>
                            <w:tr w:rsidR="002C7201" w:rsidRPr="00702C91" w:rsidTr="00346754">
                              <w:trPr>
                                <w:trHeight w:val="325"/>
                              </w:trPr>
                              <w:tc>
                                <w:tcPr>
                                  <w:tcW w:w="7285" w:type="dxa"/>
                                  <w:gridSpan w:val="4"/>
                                </w:tcPr>
                                <w:p w:rsidR="002C7201" w:rsidRPr="00702C91" w:rsidRDefault="002C7201" w:rsidP="00646867">
                                  <w:pPr>
                                    <w:autoSpaceDE w:val="0"/>
                                    <w:autoSpaceDN w:val="0"/>
                                    <w:adjustRightInd w:val="0"/>
                                    <w:spacing w:after="120" w:line="320" w:lineRule="atLeast"/>
                                    <w:ind w:left="-113"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a. 3 components extracted.</w:t>
                                  </w:r>
                                </w:p>
                              </w:tc>
                            </w:tr>
                          </w:tbl>
                          <w:p w:rsidR="002C7201" w:rsidRPr="00702C91" w:rsidRDefault="002C7201" w:rsidP="00A066BD">
                            <w:pPr>
                              <w:spacing w:after="0" w:line="360" w:lineRule="auto"/>
                              <w:jc w:val="center"/>
                              <w:rPr>
                                <w:rFonts w:ascii="Times New Roman" w:hAnsi="Times New Roman" w:cs="Times New Roman"/>
                                <w:color w:val="000000" w:themeColor="text1"/>
                                <w:sz w:val="20"/>
                                <w:szCs w:val="20"/>
                              </w:rPr>
                            </w:pPr>
                            <w:r w:rsidRPr="00702C91">
                              <w:rPr>
                                <w:rFonts w:ascii="Times New Roman" w:hAnsi="Times New Roman" w:cs="Times New Roman"/>
                                <w:color w:val="000000" w:themeColor="text1"/>
                                <w:sz w:val="20"/>
                                <w:szCs w:val="20"/>
                              </w:rPr>
                              <w:t>Source: Survey Data (2017)</w:t>
                            </w:r>
                          </w:p>
                          <w:p w:rsidR="002C7201" w:rsidRPr="00702C91" w:rsidRDefault="002C7201" w:rsidP="00346754">
                            <w:pPr>
                              <w:rPr>
                                <w:lang w:bidi="si-LK"/>
                              </w:rPr>
                            </w:pPr>
                          </w:p>
                          <w:p w:rsidR="002C7201" w:rsidRPr="00702C91" w:rsidRDefault="002C7201" w:rsidP="00346754">
                            <w:pPr>
                              <w:rPr>
                                <w:sz w:val="20"/>
                                <w:szCs w:val="20"/>
                                <w:lang w:bidi="si-LK"/>
                              </w:rPr>
                            </w:pPr>
                          </w:p>
                          <w:p w:rsidR="002C7201" w:rsidRPr="00702C91" w:rsidRDefault="002C7201" w:rsidP="00346754">
                            <w:pPr>
                              <w:rPr>
                                <w:color w:val="000000" w:themeColor="text1"/>
                                <w:lang w:bidi="si-LK"/>
                              </w:rPr>
                            </w:pPr>
                          </w:p>
                          <w:p w:rsidR="002C7201" w:rsidRPr="00123269" w:rsidRDefault="002C7201" w:rsidP="00346754">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E1AA3A" id="Rectangle 9" o:spid="_x0000_s1063" style="position:absolute;left:0;text-align:left;margin-left:0;margin-top:22.5pt;width:377.25pt;height:351.75pt;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" filled="f" stroked="f" strokeweight="1pt">
                <v:textbox>
                  <w:txbxContent>
                    <w:p w:rsidR="002C7201" w:rsidRPr="00702C91" w:rsidRDefault="002C7201" w:rsidP="00A066BD">
                      <w:pPr>
                        <w:pStyle w:val="Caption"/>
                        <w:jc w:val="center"/>
                        <w:rPr>
                          <w:rFonts w:ascii="Times New Roman" w:hAnsi="Times New Roman" w:cs="Times New Roman"/>
                          <w:b/>
                          <w:bCs/>
                          <w:i w:val="0"/>
                          <w:iCs w:val="0"/>
                          <w:color w:val="000000" w:themeColor="text1"/>
                          <w:sz w:val="20"/>
                          <w:szCs w:val="20"/>
                        </w:rPr>
                      </w:pPr>
                      <w:r w:rsidRPr="00702C91">
                        <w:rPr>
                          <w:rFonts w:ascii="Times New Roman" w:hAnsi="Times New Roman" w:cs="Times New Roman"/>
                          <w:b/>
                          <w:bCs/>
                          <w:i w:val="0"/>
                          <w:iCs w:val="0"/>
                          <w:color w:val="000000" w:themeColor="text1"/>
                          <w:sz w:val="20"/>
                          <w:szCs w:val="20"/>
                        </w:rPr>
                        <w:t xml:space="preserve">Table </w:t>
                      </w:r>
                      <w:r w:rsidRPr="00702C91">
                        <w:rPr>
                          <w:rFonts w:ascii="Times New Roman" w:hAnsi="Times New Roman" w:cs="Times New Roman"/>
                          <w:b/>
                          <w:bCs/>
                          <w:i w:val="0"/>
                          <w:iCs w:val="0"/>
                          <w:color w:val="000000" w:themeColor="text1"/>
                          <w:sz w:val="20"/>
                          <w:szCs w:val="20"/>
                        </w:rPr>
                        <w:fldChar w:fldCharType="begin"/>
                      </w:r>
                      <w:r w:rsidRPr="00702C91">
                        <w:rPr>
                          <w:rFonts w:ascii="Times New Roman" w:hAnsi="Times New Roman" w:cs="Times New Roman"/>
                          <w:b/>
                          <w:bCs/>
                          <w:i w:val="0"/>
                          <w:iCs w:val="0"/>
                          <w:color w:val="000000" w:themeColor="text1"/>
                          <w:sz w:val="20"/>
                          <w:szCs w:val="20"/>
                        </w:rPr>
                        <w:instrText xml:space="preserve"> SEQ Table \* ARABIC </w:instrText>
                      </w:r>
                      <w:r w:rsidRPr="00702C91">
                        <w:rPr>
                          <w:rFonts w:ascii="Times New Roman" w:hAnsi="Times New Roman" w:cs="Times New Roman"/>
                          <w:b/>
                          <w:bCs/>
                          <w:i w:val="0"/>
                          <w:iCs w:val="0"/>
                          <w:color w:val="000000" w:themeColor="text1"/>
                          <w:sz w:val="20"/>
                          <w:szCs w:val="20"/>
                        </w:rPr>
                        <w:fldChar w:fldCharType="separate"/>
                      </w:r>
                      <w:r w:rsidRPr="00702C91">
                        <w:rPr>
                          <w:rFonts w:ascii="Times New Roman" w:hAnsi="Times New Roman" w:cs="Times New Roman"/>
                          <w:b/>
                          <w:bCs/>
                          <w:i w:val="0"/>
                          <w:iCs w:val="0"/>
                          <w:noProof/>
                          <w:color w:val="000000" w:themeColor="text1"/>
                          <w:sz w:val="20"/>
                          <w:szCs w:val="20"/>
                        </w:rPr>
                        <w:t>5</w:t>
                      </w:r>
                      <w:r w:rsidRPr="00702C91">
                        <w:rPr>
                          <w:rFonts w:ascii="Times New Roman" w:hAnsi="Times New Roman" w:cs="Times New Roman"/>
                          <w:b/>
                          <w:bCs/>
                          <w:i w:val="0"/>
                          <w:iCs w:val="0"/>
                          <w:color w:val="000000" w:themeColor="text1"/>
                          <w:sz w:val="20"/>
                          <w:szCs w:val="20"/>
                        </w:rPr>
                        <w:fldChar w:fldCharType="end"/>
                      </w:r>
                      <w:r w:rsidRPr="00702C91">
                        <w:rPr>
                          <w:rFonts w:ascii="Times New Roman" w:hAnsi="Times New Roman" w:cs="Times New Roman"/>
                          <w:b/>
                          <w:bCs/>
                          <w:i w:val="0"/>
                          <w:iCs w:val="0"/>
                          <w:color w:val="000000" w:themeColor="text1"/>
                          <w:sz w:val="20"/>
                          <w:szCs w:val="20"/>
                        </w:rPr>
                        <w:t>: Component Matrix with Factor Loading Values</w:t>
                      </w:r>
                    </w:p>
                    <w:tbl>
                      <w:tblPr>
                        <w:tblStyle w:val="TableGrid"/>
                        <w:tblW w:w="7285" w:type="dxa"/>
                        <w:tblLayout w:type="fixed"/>
                        <w:tblLook w:val="0000" w:firstRow="0" w:lastRow="0" w:firstColumn="0" w:lastColumn="0" w:noHBand="0" w:noVBand="0"/>
                      </w:tblPr>
                      <w:tblGrid>
                        <w:gridCol w:w="4675"/>
                        <w:gridCol w:w="810"/>
                        <w:gridCol w:w="900"/>
                        <w:gridCol w:w="900"/>
                      </w:tblGrid>
                      <w:tr w:rsidR="002C7201" w:rsidRPr="00702C91" w:rsidTr="00346754">
                        <w:trPr>
                          <w:trHeight w:val="323"/>
                        </w:trPr>
                        <w:tc>
                          <w:tcPr>
                            <w:tcW w:w="4675" w:type="dxa"/>
                            <w:vMerge w:val="restart"/>
                          </w:tcPr>
                          <w:p w:rsidR="002C7201" w:rsidRPr="00702C91" w:rsidRDefault="002C7201" w:rsidP="00646867">
                            <w:pPr>
                              <w:autoSpaceDE w:val="0"/>
                              <w:autoSpaceDN w:val="0"/>
                              <w:adjustRightInd w:val="0"/>
                              <w:spacing w:after="120"/>
                              <w:rPr>
                                <w:rFonts w:ascii="Times New Roman" w:hAnsi="Times New Roman" w:cs="Times New Roman"/>
                                <w:sz w:val="20"/>
                                <w:szCs w:val="20"/>
                              </w:rPr>
                            </w:pPr>
                          </w:p>
                        </w:tc>
                        <w:tc>
                          <w:tcPr>
                            <w:tcW w:w="2610" w:type="dxa"/>
                            <w:gridSpan w:val="3"/>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Component</w:t>
                            </w:r>
                          </w:p>
                        </w:tc>
                      </w:tr>
                      <w:tr w:rsidR="002C7201" w:rsidRPr="00702C91" w:rsidTr="00346754">
                        <w:trPr>
                          <w:trHeight w:val="233"/>
                        </w:trPr>
                        <w:tc>
                          <w:tcPr>
                            <w:tcW w:w="4675" w:type="dxa"/>
                            <w:vMerge/>
                          </w:tcPr>
                          <w:p w:rsidR="002C7201" w:rsidRPr="00702C91" w:rsidRDefault="002C7201" w:rsidP="00646867">
                            <w:pPr>
                              <w:autoSpaceDE w:val="0"/>
                              <w:autoSpaceDN w:val="0"/>
                              <w:adjustRightInd w:val="0"/>
                              <w:spacing w:after="120"/>
                              <w:rPr>
                                <w:rFonts w:ascii="Times New Roman" w:hAnsi="Times New Roman" w:cs="Times New Roman"/>
                                <w:color w:val="000000"/>
                                <w:sz w:val="20"/>
                                <w:szCs w:val="20"/>
                              </w:rPr>
                            </w:pPr>
                          </w:p>
                        </w:tc>
                        <w:tc>
                          <w:tcPr>
                            <w:tcW w:w="810" w:type="dxa"/>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1</w:t>
                            </w:r>
                          </w:p>
                        </w:tc>
                        <w:tc>
                          <w:tcPr>
                            <w:tcW w:w="900" w:type="dxa"/>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2</w:t>
                            </w:r>
                          </w:p>
                        </w:tc>
                        <w:tc>
                          <w:tcPr>
                            <w:tcW w:w="900" w:type="dxa"/>
                          </w:tcPr>
                          <w:p w:rsidR="002C7201" w:rsidRPr="00702C91" w:rsidRDefault="002C7201" w:rsidP="00646867">
                            <w:pPr>
                              <w:autoSpaceDE w:val="0"/>
                              <w:autoSpaceDN w:val="0"/>
                              <w:adjustRightInd w:val="0"/>
                              <w:spacing w:after="120" w:line="320" w:lineRule="atLeast"/>
                              <w:ind w:left="60" w:right="60"/>
                              <w:jc w:val="center"/>
                              <w:rPr>
                                <w:rFonts w:ascii="Times New Roman" w:hAnsi="Times New Roman" w:cs="Times New Roman"/>
                                <w:color w:val="000000"/>
                                <w:sz w:val="20"/>
                                <w:szCs w:val="20"/>
                              </w:rPr>
                            </w:pPr>
                            <w:r w:rsidRPr="00702C91">
                              <w:rPr>
                                <w:rFonts w:ascii="Times New Roman" w:hAnsi="Times New Roman" w:cs="Times New Roman"/>
                                <w:color w:val="000000"/>
                                <w:sz w:val="20"/>
                                <w:szCs w:val="20"/>
                              </w:rPr>
                              <w:t>3</w:t>
                            </w:r>
                          </w:p>
                        </w:tc>
                      </w:tr>
                      <w:tr w:rsidR="002C7201" w:rsidRPr="00702C91" w:rsidTr="00346754">
                        <w:trPr>
                          <w:trHeight w:val="503"/>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01 - Expertise</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0.709</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-0.343</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0.028</w:t>
                            </w:r>
                          </w:p>
                        </w:tc>
                      </w:tr>
                      <w:tr w:rsidR="002C7201" w:rsidRPr="00702C91" w:rsidTr="00346754">
                        <w:trPr>
                          <w:trHeight w:val="530"/>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02 - Motivation for Post - Retirement Employment</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0.698</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-0.450</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-0.272</w:t>
                            </w:r>
                          </w:p>
                        </w:tc>
                      </w:tr>
                      <w:tr w:rsidR="002C7201" w:rsidRPr="00702C91" w:rsidTr="00346754">
                        <w:trPr>
                          <w:trHeight w:val="530"/>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03 - Post - Retirement Education</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0.574</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-0.443</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-0.405</w:t>
                            </w:r>
                          </w:p>
                        </w:tc>
                      </w:tr>
                      <w:tr w:rsidR="002C7201" w:rsidRPr="00702C91" w:rsidTr="00346754">
                        <w:trPr>
                          <w:trHeight w:val="557"/>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04 - Self - Actualization</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0.717</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-0.263</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0.418</w:t>
                            </w:r>
                          </w:p>
                        </w:tc>
                      </w:tr>
                      <w:tr w:rsidR="002C7201" w:rsidRPr="00702C91" w:rsidTr="00346754">
                        <w:trPr>
                          <w:trHeight w:val="458"/>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05 - Health Conditions</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0.396</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0.285</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0.606</w:t>
                            </w:r>
                          </w:p>
                        </w:tc>
                      </w:tr>
                      <w:tr w:rsidR="002C7201" w:rsidRPr="00702C91" w:rsidTr="00346754">
                        <w:trPr>
                          <w:trHeight w:val="512"/>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06 - Occupational Demands</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0.668</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-0.111</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0.433</w:t>
                            </w:r>
                          </w:p>
                        </w:tc>
                      </w:tr>
                      <w:tr w:rsidR="002C7201" w:rsidRPr="00702C91" w:rsidTr="00346754">
                        <w:trPr>
                          <w:trHeight w:val="458"/>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08 - Financial Sustainability</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0.654</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0.546</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-0.192</w:t>
                            </w:r>
                          </w:p>
                        </w:tc>
                      </w:tr>
                      <w:tr w:rsidR="002C7201" w:rsidRPr="00702C91" w:rsidTr="00346754">
                        <w:trPr>
                          <w:trHeight w:val="422"/>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09 - Intentions of the Employer</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0.664</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0.516</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-0.067</w:t>
                            </w:r>
                          </w:p>
                        </w:tc>
                      </w:tr>
                      <w:tr w:rsidR="002C7201" w:rsidRPr="00702C91" w:rsidTr="00346754">
                        <w:trPr>
                          <w:trHeight w:val="512"/>
                        </w:trPr>
                        <w:tc>
                          <w:tcPr>
                            <w:tcW w:w="4675" w:type="dxa"/>
                          </w:tcPr>
                          <w:p w:rsidR="002C7201" w:rsidRPr="00702C91" w:rsidRDefault="002C7201" w:rsidP="00646867">
                            <w:pPr>
                              <w:autoSpaceDE w:val="0"/>
                              <w:autoSpaceDN w:val="0"/>
                              <w:adjustRightInd w:val="0"/>
                              <w:spacing w:after="120" w:line="320" w:lineRule="atLeast"/>
                              <w:ind w:left="60"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Mean for Factor 13_ Job Security</w:t>
                            </w:r>
                          </w:p>
                        </w:tc>
                        <w:tc>
                          <w:tcPr>
                            <w:tcW w:w="81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b/>
                                <w:bCs/>
                                <w:color w:val="000000"/>
                                <w:sz w:val="20"/>
                                <w:szCs w:val="20"/>
                              </w:rPr>
                            </w:pPr>
                            <w:r w:rsidRPr="00702C91">
                              <w:rPr>
                                <w:rFonts w:ascii="Times New Roman" w:hAnsi="Times New Roman" w:cs="Times New Roman"/>
                                <w:b/>
                                <w:bCs/>
                                <w:color w:val="000000"/>
                                <w:sz w:val="20"/>
                                <w:szCs w:val="20"/>
                              </w:rPr>
                              <w:t>0.632</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0.414</w:t>
                            </w:r>
                          </w:p>
                        </w:tc>
                        <w:tc>
                          <w:tcPr>
                            <w:tcW w:w="900" w:type="dxa"/>
                          </w:tcPr>
                          <w:p w:rsidR="002C7201" w:rsidRPr="00702C91" w:rsidRDefault="002C7201" w:rsidP="00646867">
                            <w:pPr>
                              <w:autoSpaceDE w:val="0"/>
                              <w:autoSpaceDN w:val="0"/>
                              <w:adjustRightInd w:val="0"/>
                              <w:spacing w:after="120" w:line="320" w:lineRule="atLeast"/>
                              <w:ind w:left="60" w:right="60"/>
                              <w:jc w:val="right"/>
                              <w:rPr>
                                <w:rFonts w:ascii="Times New Roman" w:hAnsi="Times New Roman" w:cs="Times New Roman"/>
                                <w:color w:val="000000"/>
                                <w:sz w:val="20"/>
                                <w:szCs w:val="20"/>
                              </w:rPr>
                            </w:pPr>
                            <w:r w:rsidRPr="00702C91">
                              <w:rPr>
                                <w:rFonts w:ascii="Times New Roman" w:hAnsi="Times New Roman" w:cs="Times New Roman"/>
                                <w:color w:val="000000"/>
                                <w:sz w:val="20"/>
                                <w:szCs w:val="20"/>
                              </w:rPr>
                              <w:t>-0.405</w:t>
                            </w:r>
                          </w:p>
                        </w:tc>
                      </w:tr>
                      <w:tr w:rsidR="002C7201" w:rsidRPr="00702C91" w:rsidTr="00346754">
                        <w:trPr>
                          <w:trHeight w:val="325"/>
                        </w:trPr>
                        <w:tc>
                          <w:tcPr>
                            <w:tcW w:w="7285" w:type="dxa"/>
                            <w:gridSpan w:val="4"/>
                          </w:tcPr>
                          <w:p w:rsidR="002C7201" w:rsidRPr="00702C91" w:rsidRDefault="002C7201" w:rsidP="00646867">
                            <w:pPr>
                              <w:autoSpaceDE w:val="0"/>
                              <w:autoSpaceDN w:val="0"/>
                              <w:adjustRightInd w:val="0"/>
                              <w:spacing w:after="120" w:line="320" w:lineRule="atLeast"/>
                              <w:ind w:left="-113" w:right="60"/>
                              <w:rPr>
                                <w:rFonts w:ascii="Times New Roman" w:hAnsi="Times New Roman" w:cs="Times New Roman"/>
                                <w:color w:val="000000"/>
                                <w:sz w:val="20"/>
                                <w:szCs w:val="20"/>
                              </w:rPr>
                            </w:pPr>
                            <w:r w:rsidRPr="00702C91">
                              <w:rPr>
                                <w:rFonts w:ascii="Times New Roman" w:hAnsi="Times New Roman" w:cs="Times New Roman"/>
                                <w:color w:val="000000"/>
                                <w:sz w:val="20"/>
                                <w:szCs w:val="20"/>
                              </w:rPr>
                              <w:t>a. 3 components extracted.</w:t>
                            </w:r>
                          </w:p>
                        </w:tc>
                      </w:tr>
                    </w:tbl>
                    <w:p w:rsidR="002C7201" w:rsidRPr="00702C91" w:rsidRDefault="002C7201" w:rsidP="00A066BD">
                      <w:pPr>
                        <w:spacing w:after="0" w:line="360" w:lineRule="auto"/>
                        <w:jc w:val="center"/>
                        <w:rPr>
                          <w:rFonts w:ascii="Times New Roman" w:hAnsi="Times New Roman" w:cs="Times New Roman"/>
                          <w:color w:val="000000" w:themeColor="text1"/>
                          <w:sz w:val="20"/>
                          <w:szCs w:val="20"/>
                        </w:rPr>
                      </w:pPr>
                      <w:r w:rsidRPr="00702C91">
                        <w:rPr>
                          <w:rFonts w:ascii="Times New Roman" w:hAnsi="Times New Roman" w:cs="Times New Roman"/>
                          <w:color w:val="000000" w:themeColor="text1"/>
                          <w:sz w:val="20"/>
                          <w:szCs w:val="20"/>
                        </w:rPr>
                        <w:t>Source: Survey Data (2017)</w:t>
                      </w:r>
                    </w:p>
                    <w:p w:rsidR="002C7201" w:rsidRPr="00702C91" w:rsidRDefault="002C7201" w:rsidP="00346754">
                      <w:pPr>
                        <w:rPr>
                          <w:lang w:bidi="si-LK"/>
                        </w:rPr>
                      </w:pPr>
                    </w:p>
                    <w:p w:rsidR="002C7201" w:rsidRPr="00702C91" w:rsidRDefault="002C7201" w:rsidP="00346754">
                      <w:pPr>
                        <w:rPr>
                          <w:sz w:val="20"/>
                          <w:szCs w:val="20"/>
                          <w:lang w:bidi="si-LK"/>
                        </w:rPr>
                      </w:pPr>
                    </w:p>
                    <w:p w:rsidR="002C7201" w:rsidRPr="00702C91" w:rsidRDefault="002C7201" w:rsidP="00346754">
                      <w:pPr>
                        <w:rPr>
                          <w:color w:val="000000" w:themeColor="text1"/>
                          <w:lang w:bidi="si-LK"/>
                        </w:rPr>
                      </w:pPr>
                    </w:p>
                    <w:p w:rsidR="002C7201" w:rsidRPr="00123269" w:rsidRDefault="002C7201" w:rsidP="00346754">
                      <w:pPr>
                        <w:rPr>
                          <w:color w:val="000000" w:themeColor="text1"/>
                        </w:rPr>
                      </w:pPr>
                    </w:p>
                  </w:txbxContent>
                </v:textbox>
                <w10:wrap type="topAndBottom" anchorx="margin"/>
              </v:rect>
            </w:pict>
          </mc:Fallback>
        </mc:AlternateContent>
      </w:r>
    </w:p>
    <w:p w:rsidR="00550AF6" w:rsidRPr="00550AF6" w:rsidRDefault="00550AF6" w:rsidP="00550AF6">
      <w:pPr>
        <w:spacing w:after="0" w:line="240" w:lineRule="auto"/>
        <w:jc w:val="both"/>
        <w:rPr>
          <w:rFonts w:ascii="Times New Roman" w:hAnsi="Times New Roman" w:cs="Times New Roman"/>
          <w:sz w:val="20"/>
          <w:szCs w:val="20"/>
        </w:rPr>
      </w:pPr>
      <w:r w:rsidRPr="00550AF6">
        <w:rPr>
          <w:rFonts w:ascii="Times New Roman" w:hAnsi="Times New Roman" w:cs="Times New Roman"/>
          <w:b/>
          <w:bCs/>
          <w:sz w:val="20"/>
          <w:szCs w:val="20"/>
        </w:rPr>
        <w:lastRenderedPageBreak/>
        <w:t>Component 03</w:t>
      </w:r>
      <w:r w:rsidRPr="00550AF6">
        <w:rPr>
          <w:rFonts w:ascii="Times New Roman" w:hAnsi="Times New Roman" w:cs="Times New Roman"/>
          <w:sz w:val="20"/>
          <w:szCs w:val="20"/>
        </w:rPr>
        <w:t xml:space="preserve"> was renamed as </w:t>
      </w:r>
      <w:r w:rsidRPr="00550AF6">
        <w:rPr>
          <w:rFonts w:ascii="Times New Roman" w:hAnsi="Times New Roman" w:cs="Times New Roman"/>
          <w:b/>
          <w:bCs/>
          <w:sz w:val="20"/>
          <w:szCs w:val="20"/>
        </w:rPr>
        <w:t xml:space="preserve">Health Conditions. </w:t>
      </w:r>
      <w:r w:rsidRPr="00550AF6">
        <w:rPr>
          <w:rFonts w:ascii="Times New Roman" w:hAnsi="Times New Roman" w:cs="Times New Roman"/>
          <w:sz w:val="20"/>
          <w:szCs w:val="20"/>
        </w:rPr>
        <w:t>Plenty of academic reviews available explaining the impact of health conditions on late career employment decisions around the world. But here it is demarcated only to the annual report of World Health Organization (2015) which demonstrates comprehensively the health status of older workers.</w:t>
      </w:r>
    </w:p>
    <w:p w:rsidR="00550AF6" w:rsidRPr="00550AF6" w:rsidRDefault="00550AF6" w:rsidP="00550AF6">
      <w:pPr>
        <w:spacing w:after="0" w:line="240" w:lineRule="auto"/>
        <w:jc w:val="both"/>
        <w:rPr>
          <w:rFonts w:ascii="Times New Roman" w:hAnsi="Times New Roman" w:cs="Times New Roman"/>
          <w:sz w:val="20"/>
          <w:szCs w:val="20"/>
        </w:rPr>
      </w:pPr>
    </w:p>
    <w:p w:rsidR="00550AF6" w:rsidRDefault="00550AF6" w:rsidP="00550AF6">
      <w:pPr>
        <w:spacing w:after="0" w:line="240" w:lineRule="auto"/>
        <w:jc w:val="both"/>
        <w:rPr>
          <w:rFonts w:ascii="Times New Roman" w:hAnsi="Times New Roman" w:cs="Times New Roman"/>
          <w:sz w:val="20"/>
          <w:szCs w:val="20"/>
        </w:rPr>
      </w:pPr>
      <w:r w:rsidRPr="00550AF6">
        <w:rPr>
          <w:rFonts w:ascii="Times New Roman" w:hAnsi="Times New Roman" w:cs="Times New Roman"/>
          <w:sz w:val="20"/>
          <w:szCs w:val="20"/>
        </w:rPr>
        <w:t xml:space="preserve">There are another three factors called </w:t>
      </w:r>
      <w:r w:rsidRPr="00550AF6">
        <w:rPr>
          <w:rFonts w:ascii="Times New Roman" w:hAnsi="Times New Roman" w:cs="Times New Roman"/>
          <w:b/>
          <w:bCs/>
          <w:sz w:val="20"/>
          <w:szCs w:val="20"/>
        </w:rPr>
        <w:t xml:space="preserve">Legal Enforcements, Family Accomplishments </w:t>
      </w:r>
      <w:r w:rsidRPr="00550AF6">
        <w:rPr>
          <w:rFonts w:ascii="Times New Roman" w:hAnsi="Times New Roman" w:cs="Times New Roman"/>
          <w:sz w:val="20"/>
          <w:szCs w:val="20"/>
        </w:rPr>
        <w:t>and</w:t>
      </w:r>
      <w:r w:rsidRPr="00550AF6">
        <w:rPr>
          <w:rFonts w:ascii="Times New Roman" w:hAnsi="Times New Roman" w:cs="Times New Roman"/>
          <w:b/>
          <w:bCs/>
          <w:sz w:val="20"/>
          <w:szCs w:val="20"/>
        </w:rPr>
        <w:t xml:space="preserve"> Social Security. </w:t>
      </w:r>
      <w:r w:rsidRPr="00550AF6">
        <w:rPr>
          <w:rFonts w:ascii="Times New Roman" w:hAnsi="Times New Roman" w:cs="Times New Roman"/>
          <w:sz w:val="20"/>
          <w:szCs w:val="20"/>
        </w:rPr>
        <w:t>For this determinants it was impossible to apply Exploratory Factor Analysis to quantify statistically but results were obtained by the univariate analysis. Therefore those are not rejected.</w:t>
      </w:r>
    </w:p>
    <w:p w:rsidR="00550AF6" w:rsidRPr="00550AF6" w:rsidRDefault="00550AF6" w:rsidP="00550AF6">
      <w:pPr>
        <w:spacing w:after="0" w:line="240" w:lineRule="auto"/>
        <w:jc w:val="both"/>
        <w:rPr>
          <w:rFonts w:ascii="Times New Roman" w:hAnsi="Times New Roman" w:cs="Times New Roman"/>
          <w:sz w:val="20"/>
          <w:szCs w:val="20"/>
        </w:rPr>
      </w:pPr>
    </w:p>
    <w:p w:rsidR="00550AF6" w:rsidRPr="00550AF6" w:rsidRDefault="00550AF6" w:rsidP="00550AF6">
      <w:pPr>
        <w:spacing w:after="0" w:line="240" w:lineRule="auto"/>
        <w:jc w:val="both"/>
        <w:rPr>
          <w:rFonts w:ascii="Times New Roman" w:hAnsi="Times New Roman" w:cs="Times New Roman"/>
          <w:sz w:val="20"/>
          <w:szCs w:val="20"/>
        </w:rPr>
      </w:pPr>
      <w:r w:rsidRPr="00550AF6">
        <w:rPr>
          <w:rFonts w:ascii="Times New Roman" w:hAnsi="Times New Roman" w:cs="Times New Roman"/>
          <w:sz w:val="20"/>
          <w:szCs w:val="20"/>
        </w:rPr>
        <w:lastRenderedPageBreak/>
        <w:t xml:space="preserve">Finally, in the list of determinants, </w:t>
      </w:r>
      <w:r w:rsidRPr="00550AF6">
        <w:rPr>
          <w:rFonts w:ascii="Times New Roman" w:hAnsi="Times New Roman" w:cs="Times New Roman"/>
          <w:b/>
          <w:bCs/>
          <w:sz w:val="20"/>
          <w:szCs w:val="20"/>
        </w:rPr>
        <w:t xml:space="preserve">Declining Fertility Rates </w:t>
      </w:r>
      <w:r w:rsidRPr="00550AF6">
        <w:rPr>
          <w:rFonts w:ascii="Times New Roman" w:hAnsi="Times New Roman" w:cs="Times New Roman"/>
          <w:sz w:val="20"/>
          <w:szCs w:val="20"/>
        </w:rPr>
        <w:t xml:space="preserve">and </w:t>
      </w:r>
      <w:r w:rsidRPr="00550AF6">
        <w:rPr>
          <w:rFonts w:ascii="Times New Roman" w:hAnsi="Times New Roman" w:cs="Times New Roman"/>
          <w:b/>
          <w:bCs/>
          <w:sz w:val="20"/>
          <w:szCs w:val="20"/>
        </w:rPr>
        <w:t xml:space="preserve">Increased Life Expectancy </w:t>
      </w:r>
      <w:r w:rsidRPr="00550AF6">
        <w:rPr>
          <w:rFonts w:ascii="Times New Roman" w:hAnsi="Times New Roman" w:cs="Times New Roman"/>
          <w:sz w:val="20"/>
          <w:szCs w:val="20"/>
        </w:rPr>
        <w:t xml:space="preserve">were leading determinants of post – retirement employment which impact over decades. Since these are socio-economic factors, it was impossible to measure and also data was not collected because it is out of the scope of the current study. But since there is a strong literature support to justify both determinants, those are not rejected. Then, the determinants of post – retirement employment in Sri Lanka are </w:t>
      </w:r>
      <w:r w:rsidRPr="00550AF6">
        <w:rPr>
          <w:rFonts w:ascii="Times New Roman" w:hAnsi="Times New Roman" w:cs="Times New Roman"/>
          <w:b/>
          <w:bCs/>
          <w:sz w:val="20"/>
          <w:szCs w:val="20"/>
        </w:rPr>
        <w:t>Late Career Meaningfulness, Health Conditions, Legal Enforcements, Family Accomplishments, Social Security and Declining Fertility Rates and Increased Life Expectancy</w:t>
      </w:r>
      <w:r w:rsidRPr="00550AF6">
        <w:rPr>
          <w:rFonts w:ascii="Times New Roman" w:hAnsi="Times New Roman" w:cs="Times New Roman"/>
          <w:sz w:val="20"/>
          <w:szCs w:val="20"/>
        </w:rPr>
        <w:t>.</w:t>
      </w:r>
    </w:p>
    <w:p w:rsidR="00550AF6" w:rsidRPr="00550AF6" w:rsidRDefault="00550AF6" w:rsidP="00550AF6">
      <w:pPr>
        <w:spacing w:after="0" w:line="240" w:lineRule="auto"/>
        <w:jc w:val="both"/>
        <w:rPr>
          <w:rFonts w:ascii="Times New Roman" w:hAnsi="Times New Roman" w:cs="Times New Roman"/>
          <w:b/>
          <w:sz w:val="20"/>
          <w:szCs w:val="20"/>
        </w:rPr>
      </w:pPr>
    </w:p>
    <w:p w:rsidR="00550AF6" w:rsidRDefault="00B07ED1" w:rsidP="00550AF6">
      <w:pPr>
        <w:spacing w:after="0" w:line="240" w:lineRule="auto"/>
        <w:jc w:val="both"/>
        <w:rPr>
          <w:rFonts w:ascii="Times New Roman" w:hAnsi="Times New Roman" w:cs="Times New Roman"/>
          <w:b/>
          <w:i/>
          <w:sz w:val="20"/>
          <w:szCs w:val="20"/>
        </w:rPr>
      </w:pPr>
      <w:r w:rsidRPr="00B07ED1">
        <w:rPr>
          <w:rFonts w:ascii="Times New Roman" w:hAnsi="Times New Roman" w:cs="Times New Roman"/>
          <w:b/>
          <w:i/>
          <w:sz w:val="20"/>
          <w:szCs w:val="20"/>
        </w:rPr>
        <w:t>Comments by Respondents</w:t>
      </w:r>
    </w:p>
    <w:p w:rsidR="00B07ED1" w:rsidRDefault="00B07ED1" w:rsidP="00550AF6">
      <w:pPr>
        <w:spacing w:after="0" w:line="240" w:lineRule="auto"/>
        <w:jc w:val="both"/>
        <w:rPr>
          <w:rFonts w:ascii="Times New Roman" w:hAnsi="Times New Roman" w:cs="Times New Roman"/>
          <w:b/>
          <w:i/>
          <w:sz w:val="20"/>
          <w:szCs w:val="20"/>
        </w:rPr>
      </w:pPr>
    </w:p>
    <w:p w:rsidR="00B07ED1" w:rsidRPr="00B07ED1" w:rsidRDefault="00B07ED1" w:rsidP="00B07ED1">
      <w:p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In addition to the factors explored from the literature, some respondents in the sample pointed out factors which affect their post – retirement employment decisions. Some of key comments by respondents are as follows.</w:t>
      </w:r>
    </w:p>
    <w:p w:rsidR="00B07ED1" w:rsidRPr="00B07ED1" w:rsidRDefault="00B07ED1" w:rsidP="00B07ED1">
      <w:pPr>
        <w:spacing w:after="0" w:line="240" w:lineRule="auto"/>
        <w:jc w:val="both"/>
        <w:rPr>
          <w:rFonts w:ascii="Times New Roman" w:hAnsi="Times New Roman" w:cs="Times New Roman"/>
          <w:sz w:val="20"/>
          <w:szCs w:val="20"/>
        </w:rPr>
      </w:pPr>
    </w:p>
    <w:p w:rsidR="00B07ED1" w:rsidRPr="00B07ED1" w:rsidRDefault="00B07ED1" w:rsidP="00B07ED1">
      <w:pPr>
        <w:pStyle w:val="ListParagraph"/>
        <w:numPr>
          <w:ilvl w:val="0"/>
          <w:numId w:val="2"/>
        </w:num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Need for gaining a distinct experience in a different field.</w:t>
      </w:r>
    </w:p>
    <w:p w:rsidR="00B07ED1" w:rsidRPr="00B07ED1" w:rsidRDefault="00B07ED1" w:rsidP="00B07ED1">
      <w:pPr>
        <w:pStyle w:val="ListParagraph"/>
        <w:numPr>
          <w:ilvl w:val="0"/>
          <w:numId w:val="2"/>
        </w:num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Uniqueness of the talent.</w:t>
      </w:r>
    </w:p>
    <w:p w:rsidR="00B07ED1" w:rsidRPr="00B07ED1" w:rsidRDefault="00B07ED1" w:rsidP="00B07ED1">
      <w:pPr>
        <w:pStyle w:val="ListParagraph"/>
        <w:numPr>
          <w:ilvl w:val="0"/>
          <w:numId w:val="2"/>
        </w:num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Integrity and commitment to work.</w:t>
      </w:r>
    </w:p>
    <w:p w:rsidR="00B07ED1" w:rsidRPr="00B07ED1" w:rsidRDefault="00B07ED1" w:rsidP="00B07ED1">
      <w:pPr>
        <w:pStyle w:val="ListParagraph"/>
        <w:numPr>
          <w:ilvl w:val="0"/>
          <w:numId w:val="2"/>
        </w:num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Non – availability of a second layer of the organizational hierarchy.</w:t>
      </w:r>
    </w:p>
    <w:p w:rsidR="00B07ED1" w:rsidRPr="00B07ED1" w:rsidRDefault="00B07ED1" w:rsidP="00B07ED1">
      <w:pPr>
        <w:pStyle w:val="ListParagraph"/>
        <w:numPr>
          <w:ilvl w:val="0"/>
          <w:numId w:val="2"/>
        </w:num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Passionate to work (teaching and lecturing).</w:t>
      </w:r>
    </w:p>
    <w:p w:rsidR="00B07ED1" w:rsidRPr="00B07ED1" w:rsidRDefault="00B07ED1" w:rsidP="00B07ED1">
      <w:pPr>
        <w:pStyle w:val="ListParagraph"/>
        <w:numPr>
          <w:ilvl w:val="0"/>
          <w:numId w:val="2"/>
        </w:num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Serve to the motherland.</w:t>
      </w:r>
    </w:p>
    <w:p w:rsidR="00B07ED1" w:rsidRPr="00B07ED1" w:rsidRDefault="00B07ED1" w:rsidP="00B07ED1">
      <w:pPr>
        <w:spacing w:after="0" w:line="240" w:lineRule="auto"/>
        <w:jc w:val="both"/>
        <w:rPr>
          <w:rFonts w:ascii="Times New Roman" w:hAnsi="Times New Roman" w:cs="Times New Roman"/>
          <w:sz w:val="20"/>
          <w:szCs w:val="20"/>
        </w:rPr>
      </w:pPr>
    </w:p>
    <w:p w:rsidR="00B07ED1" w:rsidRDefault="00B07ED1" w:rsidP="00B07ED1">
      <w:p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It is tracked that not only person related reasons impact to post – retirement employment decisions but also organizational related reasons which complied much the key findings of this study.</w:t>
      </w:r>
    </w:p>
    <w:p w:rsidR="00B07ED1" w:rsidRDefault="00B07ED1" w:rsidP="00B07ED1">
      <w:pPr>
        <w:spacing w:after="0" w:line="240" w:lineRule="auto"/>
        <w:jc w:val="both"/>
        <w:rPr>
          <w:rFonts w:ascii="Times New Roman" w:hAnsi="Times New Roman" w:cs="Times New Roman"/>
          <w:sz w:val="20"/>
          <w:szCs w:val="20"/>
        </w:rPr>
      </w:pPr>
    </w:p>
    <w:p w:rsidR="00B07ED1" w:rsidRDefault="00B07ED1" w:rsidP="00B07ED1">
      <w:pPr>
        <w:spacing w:after="0" w:line="240" w:lineRule="auto"/>
        <w:jc w:val="both"/>
        <w:rPr>
          <w:rFonts w:ascii="Times New Roman" w:hAnsi="Times New Roman" w:cs="Times New Roman"/>
          <w:b/>
          <w:sz w:val="20"/>
          <w:szCs w:val="20"/>
        </w:rPr>
      </w:pPr>
      <w:r w:rsidRPr="00B07ED1">
        <w:rPr>
          <w:rFonts w:ascii="Times New Roman" w:hAnsi="Times New Roman" w:cs="Times New Roman"/>
          <w:b/>
          <w:sz w:val="20"/>
          <w:szCs w:val="20"/>
        </w:rPr>
        <w:t xml:space="preserve">Limitations </w:t>
      </w:r>
    </w:p>
    <w:p w:rsidR="00B07ED1" w:rsidRDefault="00B07ED1" w:rsidP="00B07ED1">
      <w:pPr>
        <w:spacing w:after="0" w:line="240" w:lineRule="auto"/>
        <w:jc w:val="both"/>
        <w:rPr>
          <w:rFonts w:ascii="Times New Roman" w:hAnsi="Times New Roman" w:cs="Times New Roman"/>
          <w:b/>
          <w:sz w:val="20"/>
          <w:szCs w:val="20"/>
        </w:rPr>
      </w:pPr>
    </w:p>
    <w:p w:rsidR="00B07ED1" w:rsidRPr="00B07ED1" w:rsidRDefault="00B07ED1" w:rsidP="00B07ED1">
      <w:pPr>
        <w:spacing w:after="0" w:line="240" w:lineRule="auto"/>
        <w:jc w:val="both"/>
        <w:rPr>
          <w:rFonts w:ascii="Times New Roman" w:hAnsi="Times New Roman" w:cs="Times New Roman"/>
          <w:sz w:val="20"/>
          <w:szCs w:val="20"/>
        </w:rPr>
      </w:pPr>
      <w:r w:rsidRPr="00B07ED1">
        <w:rPr>
          <w:rFonts w:ascii="Times New Roman" w:hAnsi="Times New Roman" w:cs="Times New Roman"/>
          <w:b/>
          <w:bCs/>
          <w:sz w:val="20"/>
          <w:szCs w:val="20"/>
        </w:rPr>
        <w:t xml:space="preserve">Definitional ambiguity </w:t>
      </w:r>
      <w:r w:rsidRPr="00B07ED1">
        <w:rPr>
          <w:rFonts w:ascii="Times New Roman" w:hAnsi="Times New Roman" w:cs="Times New Roman"/>
          <w:sz w:val="20"/>
          <w:szCs w:val="20"/>
        </w:rPr>
        <w:t xml:space="preserve">makes an impossibility to be provided an independent definition to the term of retirement because it depends both length of the service period </w:t>
      </w:r>
      <w:r w:rsidRPr="00B07ED1">
        <w:rPr>
          <w:rFonts w:ascii="Times New Roman" w:hAnsi="Times New Roman" w:cs="Times New Roman"/>
          <w:sz w:val="20"/>
          <w:szCs w:val="20"/>
        </w:rPr>
        <w:lastRenderedPageBreak/>
        <w:t xml:space="preserve">and completion the contract period of service. </w:t>
      </w:r>
      <w:r w:rsidRPr="00B07ED1">
        <w:rPr>
          <w:rFonts w:ascii="Times New Roman" w:hAnsi="Times New Roman" w:cs="Times New Roman"/>
          <w:b/>
          <w:bCs/>
          <w:sz w:val="20"/>
          <w:szCs w:val="20"/>
        </w:rPr>
        <w:t xml:space="preserve">Consideration only post – retired employees, working for a salary </w:t>
      </w:r>
      <w:r w:rsidRPr="00B07ED1">
        <w:rPr>
          <w:rFonts w:ascii="Times New Roman" w:hAnsi="Times New Roman" w:cs="Times New Roman"/>
          <w:sz w:val="20"/>
          <w:szCs w:val="20"/>
        </w:rPr>
        <w:t>is another limitation of this study because not all post – retired employees are employed under an employer for a salary. There are some retired workers who reactive as voluntary working, investors, entrepreneurs and self-employees. But this study only addresses the post – retired employees which creates a demarcation.</w:t>
      </w:r>
    </w:p>
    <w:p w:rsidR="00B07ED1" w:rsidRPr="00B07ED1" w:rsidRDefault="00B07ED1" w:rsidP="00B07ED1">
      <w:pPr>
        <w:spacing w:after="0" w:line="240" w:lineRule="auto"/>
        <w:jc w:val="both"/>
        <w:rPr>
          <w:rFonts w:ascii="Times New Roman" w:hAnsi="Times New Roman" w:cs="Times New Roman"/>
          <w:sz w:val="20"/>
          <w:szCs w:val="20"/>
        </w:rPr>
      </w:pPr>
    </w:p>
    <w:p w:rsidR="00B07ED1" w:rsidRDefault="00B07ED1" w:rsidP="00B07ED1">
      <w:p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 xml:space="preserve">The sample for the selected study purpose limits only to 97 individuals. But for reaching to a highly reliable result, it is important to move for bigger sample than this. </w:t>
      </w:r>
      <w:r w:rsidRPr="00B07ED1">
        <w:rPr>
          <w:rFonts w:ascii="Times New Roman" w:hAnsi="Times New Roman" w:cs="Times New Roman"/>
          <w:b/>
          <w:bCs/>
          <w:sz w:val="20"/>
          <w:szCs w:val="20"/>
        </w:rPr>
        <w:t xml:space="preserve">Non-Availability of standard measurements in the relating and existing literature </w:t>
      </w:r>
      <w:r w:rsidRPr="00B07ED1">
        <w:rPr>
          <w:rFonts w:ascii="Times New Roman" w:hAnsi="Times New Roman" w:cs="Times New Roman"/>
          <w:sz w:val="20"/>
          <w:szCs w:val="20"/>
        </w:rPr>
        <w:t>becomes a significant issue since this is the very first attempt in Sri Lanka to explore the factors affecting to post – retirement employment. Therefore it was made a new questionnaire with conducting the pilot survey.</w:t>
      </w:r>
    </w:p>
    <w:p w:rsidR="00B07ED1" w:rsidRDefault="00B07ED1" w:rsidP="00B07ED1">
      <w:pPr>
        <w:spacing w:after="0" w:line="240" w:lineRule="auto"/>
        <w:jc w:val="both"/>
        <w:rPr>
          <w:rFonts w:ascii="Times New Roman" w:hAnsi="Times New Roman" w:cs="Times New Roman"/>
          <w:sz w:val="20"/>
          <w:szCs w:val="20"/>
        </w:rPr>
      </w:pPr>
    </w:p>
    <w:p w:rsidR="00B07ED1" w:rsidRDefault="00B07ED1" w:rsidP="00B07ED1">
      <w:pPr>
        <w:spacing w:after="0" w:line="240" w:lineRule="auto"/>
        <w:jc w:val="both"/>
        <w:rPr>
          <w:rFonts w:ascii="Times New Roman" w:hAnsi="Times New Roman" w:cs="Times New Roman"/>
          <w:b/>
          <w:sz w:val="20"/>
          <w:szCs w:val="20"/>
        </w:rPr>
      </w:pPr>
      <w:r w:rsidRPr="00B07ED1">
        <w:rPr>
          <w:rFonts w:ascii="Times New Roman" w:hAnsi="Times New Roman" w:cs="Times New Roman"/>
          <w:b/>
          <w:sz w:val="20"/>
          <w:szCs w:val="20"/>
        </w:rPr>
        <w:t>Conclusions and Recommendations</w:t>
      </w:r>
    </w:p>
    <w:p w:rsidR="00B07ED1" w:rsidRDefault="00B07ED1" w:rsidP="00B07ED1">
      <w:pPr>
        <w:spacing w:after="0" w:line="240" w:lineRule="auto"/>
        <w:jc w:val="both"/>
        <w:rPr>
          <w:rFonts w:ascii="Times New Roman" w:hAnsi="Times New Roman" w:cs="Times New Roman"/>
          <w:b/>
          <w:sz w:val="20"/>
          <w:szCs w:val="20"/>
        </w:rPr>
      </w:pPr>
    </w:p>
    <w:p w:rsidR="00B07ED1" w:rsidRPr="00B07ED1" w:rsidRDefault="00B07ED1" w:rsidP="00B07ED1">
      <w:p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Male employees hold the highest potentiality for post – retirement employment opportunities and the private sector in Sri Lanka is the most hospitable place for the post – retirement employment for both male and female employees. Furthermore, it is determined that bearing family headships, being married and living in urban or semi-urban area significantly impact to post – retirement employment in Sri Lanka by guaranteeing the determinant of Family Accomplishment. Moreover, retired workers are not financially satisfied therefore, they shift to re-employ themselves after formal retirement though they are entitled for retirement benefits. The employment opportunities of post – retired workers are assured by the employment agreement because majority are permanent and contract basis employees.</w:t>
      </w:r>
    </w:p>
    <w:p w:rsidR="00B07ED1" w:rsidRPr="00B07ED1" w:rsidRDefault="00B07ED1" w:rsidP="00B07ED1">
      <w:pPr>
        <w:spacing w:after="0" w:line="240" w:lineRule="auto"/>
        <w:jc w:val="both"/>
        <w:rPr>
          <w:rFonts w:ascii="Times New Roman" w:hAnsi="Times New Roman" w:cs="Times New Roman"/>
          <w:sz w:val="20"/>
          <w:szCs w:val="20"/>
        </w:rPr>
      </w:pPr>
    </w:p>
    <w:p w:rsidR="00B07ED1" w:rsidRPr="00B07ED1" w:rsidRDefault="00B07ED1" w:rsidP="00B07ED1">
      <w:pPr>
        <w:spacing w:after="0" w:line="240" w:lineRule="auto"/>
        <w:jc w:val="both"/>
        <w:rPr>
          <w:rFonts w:ascii="Times New Roman" w:hAnsi="Times New Roman" w:cs="Times New Roman"/>
          <w:sz w:val="20"/>
          <w:szCs w:val="20"/>
        </w:rPr>
      </w:pPr>
      <w:r w:rsidRPr="00B07ED1">
        <w:rPr>
          <w:rFonts w:ascii="Times New Roman" w:hAnsi="Times New Roman" w:cs="Times New Roman"/>
          <w:b/>
          <w:bCs/>
          <w:sz w:val="20"/>
          <w:szCs w:val="20"/>
        </w:rPr>
        <w:t>Readjustment of retirement age limits</w:t>
      </w:r>
      <w:r w:rsidRPr="00B07ED1">
        <w:rPr>
          <w:rFonts w:ascii="Times New Roman" w:hAnsi="Times New Roman" w:cs="Times New Roman"/>
          <w:sz w:val="20"/>
          <w:szCs w:val="20"/>
        </w:rPr>
        <w:t xml:space="preserve"> is recommended to amend the retirement </w:t>
      </w:r>
      <w:r w:rsidRPr="00B07ED1">
        <w:rPr>
          <w:rFonts w:ascii="Times New Roman" w:hAnsi="Times New Roman" w:cs="Times New Roman"/>
          <w:sz w:val="20"/>
          <w:szCs w:val="20"/>
        </w:rPr>
        <w:lastRenderedPageBreak/>
        <w:t xml:space="preserve">age limits as 62 years for male employees and 61 years for female employees in the long run. Because the results of the study demonstrate that working community is reluctant to retire soon after completing the retirement age. Those are the average retirement ages of both female and male employees as per the analysis of the study. </w:t>
      </w:r>
      <w:r w:rsidRPr="00B07ED1">
        <w:rPr>
          <w:rFonts w:ascii="Times New Roman" w:hAnsi="Times New Roman" w:cs="Times New Roman"/>
          <w:b/>
          <w:bCs/>
          <w:sz w:val="20"/>
          <w:szCs w:val="20"/>
        </w:rPr>
        <w:t xml:space="preserve">Post – retirement educational opportunities </w:t>
      </w:r>
      <w:r w:rsidRPr="00B07ED1">
        <w:rPr>
          <w:rFonts w:ascii="Times New Roman" w:hAnsi="Times New Roman" w:cs="Times New Roman"/>
          <w:sz w:val="20"/>
          <w:szCs w:val="20"/>
        </w:rPr>
        <w:t>become vastly available so that</w:t>
      </w:r>
      <w:r w:rsidRPr="00B07ED1">
        <w:rPr>
          <w:rFonts w:ascii="Times New Roman" w:hAnsi="Times New Roman" w:cs="Times New Roman"/>
          <w:b/>
          <w:bCs/>
          <w:sz w:val="20"/>
          <w:szCs w:val="20"/>
        </w:rPr>
        <w:t xml:space="preserve"> </w:t>
      </w:r>
      <w:r w:rsidRPr="00B07ED1">
        <w:rPr>
          <w:rFonts w:ascii="Times New Roman" w:hAnsi="Times New Roman" w:cs="Times New Roman"/>
          <w:sz w:val="20"/>
          <w:szCs w:val="20"/>
        </w:rPr>
        <w:t>training and coaching are essential for post – retired employees since majority of such workers shift to another organization to embark their second career after getting retired.</w:t>
      </w:r>
    </w:p>
    <w:p w:rsidR="00B07ED1" w:rsidRPr="00B07ED1" w:rsidRDefault="00B07ED1" w:rsidP="00B07ED1">
      <w:pPr>
        <w:spacing w:after="0" w:line="240" w:lineRule="auto"/>
        <w:jc w:val="both"/>
        <w:rPr>
          <w:rFonts w:ascii="Times New Roman" w:hAnsi="Times New Roman" w:cs="Times New Roman"/>
          <w:sz w:val="20"/>
          <w:szCs w:val="20"/>
        </w:rPr>
      </w:pPr>
    </w:p>
    <w:p w:rsidR="00B07ED1" w:rsidRPr="00B07ED1" w:rsidRDefault="00B07ED1" w:rsidP="00B07ED1">
      <w:pPr>
        <w:spacing w:after="0" w:line="240" w:lineRule="auto"/>
        <w:jc w:val="both"/>
        <w:rPr>
          <w:rFonts w:ascii="Times New Roman" w:hAnsi="Times New Roman" w:cs="Times New Roman"/>
          <w:sz w:val="20"/>
          <w:szCs w:val="20"/>
        </w:rPr>
      </w:pPr>
      <w:r w:rsidRPr="00B07ED1">
        <w:rPr>
          <w:rFonts w:ascii="Times New Roman" w:hAnsi="Times New Roman" w:cs="Times New Roman"/>
          <w:b/>
          <w:bCs/>
          <w:sz w:val="20"/>
          <w:szCs w:val="20"/>
        </w:rPr>
        <w:t xml:space="preserve">Government cost restructuring </w:t>
      </w:r>
      <w:r w:rsidRPr="00B07ED1">
        <w:rPr>
          <w:rFonts w:ascii="Times New Roman" w:hAnsi="Times New Roman" w:cs="Times New Roman"/>
          <w:sz w:val="20"/>
          <w:szCs w:val="20"/>
        </w:rPr>
        <w:t>is another potential and</w:t>
      </w:r>
      <w:r w:rsidRPr="00B07ED1">
        <w:rPr>
          <w:rFonts w:ascii="Times New Roman" w:hAnsi="Times New Roman" w:cs="Times New Roman"/>
          <w:b/>
          <w:bCs/>
          <w:sz w:val="20"/>
          <w:szCs w:val="20"/>
        </w:rPr>
        <w:t xml:space="preserve"> </w:t>
      </w:r>
      <w:r w:rsidRPr="00B07ED1">
        <w:rPr>
          <w:rFonts w:ascii="Times New Roman" w:hAnsi="Times New Roman" w:cs="Times New Roman"/>
          <w:sz w:val="20"/>
          <w:szCs w:val="20"/>
        </w:rPr>
        <w:t xml:space="preserve">benefit claiming age limits are recommended to be extended for EPF and ETF beneficiaries. Since the late life income is secured for post – retired employees, Monthly contribution for such retirement benefit schemes could also be recommended to reduce. </w:t>
      </w:r>
      <w:r w:rsidRPr="00B07ED1">
        <w:rPr>
          <w:rFonts w:ascii="Times New Roman" w:hAnsi="Times New Roman" w:cs="Times New Roman"/>
          <w:b/>
          <w:bCs/>
          <w:sz w:val="20"/>
          <w:szCs w:val="20"/>
        </w:rPr>
        <w:t xml:space="preserve">Strategic manpower planning </w:t>
      </w:r>
      <w:r w:rsidRPr="00B07ED1">
        <w:rPr>
          <w:rFonts w:ascii="Times New Roman" w:hAnsi="Times New Roman" w:cs="Times New Roman"/>
          <w:sz w:val="20"/>
          <w:szCs w:val="20"/>
        </w:rPr>
        <w:t>is vital</w:t>
      </w:r>
      <w:r w:rsidRPr="00B07ED1">
        <w:rPr>
          <w:rFonts w:ascii="Times New Roman" w:hAnsi="Times New Roman" w:cs="Times New Roman"/>
          <w:b/>
          <w:bCs/>
          <w:sz w:val="20"/>
          <w:szCs w:val="20"/>
        </w:rPr>
        <w:t xml:space="preserve"> </w:t>
      </w:r>
      <w:r w:rsidRPr="00B07ED1">
        <w:rPr>
          <w:rFonts w:ascii="Times New Roman" w:hAnsi="Times New Roman" w:cs="Times New Roman"/>
          <w:sz w:val="20"/>
          <w:szCs w:val="20"/>
        </w:rPr>
        <w:t>since post – retirement employment is a rapid growing trend in Sri Lanka, organizations should prepare to welcome them in the near future</w:t>
      </w:r>
      <w:r w:rsidRPr="00B07ED1">
        <w:rPr>
          <w:rFonts w:ascii="Times New Roman" w:hAnsi="Times New Roman" w:cs="Times New Roman"/>
          <w:color w:val="FF0000"/>
          <w:sz w:val="20"/>
          <w:szCs w:val="20"/>
        </w:rPr>
        <w:t xml:space="preserve">. </w:t>
      </w:r>
      <w:r w:rsidRPr="00B07ED1">
        <w:rPr>
          <w:rFonts w:ascii="Times New Roman" w:hAnsi="Times New Roman" w:cs="Times New Roman"/>
          <w:sz w:val="20"/>
          <w:szCs w:val="20"/>
        </w:rPr>
        <w:t>Organizations in the industry highlighting the corporate arena will not suffer labour deficits anymore in the future if they are ready to welcome retired employees who are looking for the second career initiation to fill up future vacancies. Therefore it is suggested to the institutional sector to come up with non – discriminatory hiring practices and fair treatments to everyone in every industry.</w:t>
      </w:r>
    </w:p>
    <w:p w:rsidR="00B07ED1" w:rsidRPr="00B07ED1" w:rsidRDefault="00B07ED1" w:rsidP="00B07ED1">
      <w:pPr>
        <w:spacing w:after="0" w:line="240" w:lineRule="auto"/>
        <w:jc w:val="both"/>
        <w:rPr>
          <w:rFonts w:ascii="Times New Roman" w:hAnsi="Times New Roman" w:cs="Times New Roman"/>
          <w:sz w:val="20"/>
          <w:szCs w:val="20"/>
        </w:rPr>
      </w:pPr>
    </w:p>
    <w:p w:rsidR="00B07ED1" w:rsidRPr="00B07ED1" w:rsidRDefault="00B07ED1" w:rsidP="00B07ED1">
      <w:pPr>
        <w:spacing w:after="0" w:line="240" w:lineRule="auto"/>
        <w:jc w:val="both"/>
        <w:rPr>
          <w:rFonts w:ascii="Times New Roman" w:hAnsi="Times New Roman" w:cs="Times New Roman"/>
          <w:sz w:val="20"/>
          <w:szCs w:val="20"/>
        </w:rPr>
      </w:pPr>
      <w:r w:rsidRPr="00B07ED1">
        <w:rPr>
          <w:rFonts w:ascii="Times New Roman" w:hAnsi="Times New Roman" w:cs="Times New Roman"/>
          <w:b/>
          <w:bCs/>
          <w:sz w:val="20"/>
          <w:szCs w:val="20"/>
        </w:rPr>
        <w:t xml:space="preserve">Institutional and national level occupational appreciation </w:t>
      </w:r>
      <w:r w:rsidRPr="00B07ED1">
        <w:rPr>
          <w:rFonts w:ascii="Times New Roman" w:hAnsi="Times New Roman" w:cs="Times New Roman"/>
          <w:sz w:val="20"/>
          <w:szCs w:val="20"/>
        </w:rPr>
        <w:t>would be a responsibility of both the corporate and the government sector to recognize the contribution to the national income expansion by post – retired employees as senior citizens in the country. Therefore appreciating ‘senior employee’ could be applied as a non-financial motivation practice. This practices is not strange to Sri Lanka be</w:t>
      </w:r>
      <w:r w:rsidRPr="00B07ED1">
        <w:rPr>
          <w:rFonts w:ascii="Times New Roman" w:hAnsi="Times New Roman" w:cs="Times New Roman"/>
          <w:sz w:val="20"/>
          <w:szCs w:val="20"/>
        </w:rPr>
        <w:lastRenderedPageBreak/>
        <w:t xml:space="preserve">cause handful of organizations have already adapted this practice but here it is convinced that this practice should be widely accepted by both the private and public sectors. Finally, </w:t>
      </w:r>
      <w:r w:rsidRPr="00B07ED1">
        <w:rPr>
          <w:rFonts w:ascii="Times New Roman" w:hAnsi="Times New Roman" w:cs="Times New Roman"/>
          <w:b/>
          <w:bCs/>
          <w:sz w:val="20"/>
          <w:szCs w:val="20"/>
        </w:rPr>
        <w:t xml:space="preserve">restructuring reward systems in private sector institutions </w:t>
      </w:r>
      <w:r w:rsidRPr="00B07ED1">
        <w:rPr>
          <w:rFonts w:ascii="Times New Roman" w:hAnsi="Times New Roman" w:cs="Times New Roman"/>
          <w:sz w:val="20"/>
          <w:szCs w:val="20"/>
        </w:rPr>
        <w:t>is</w:t>
      </w:r>
      <w:r w:rsidRPr="00B07ED1">
        <w:rPr>
          <w:rFonts w:ascii="Times New Roman" w:hAnsi="Times New Roman" w:cs="Times New Roman"/>
          <w:b/>
          <w:bCs/>
          <w:sz w:val="20"/>
          <w:szCs w:val="20"/>
        </w:rPr>
        <w:t xml:space="preserve"> </w:t>
      </w:r>
      <w:r w:rsidRPr="00B07ED1">
        <w:rPr>
          <w:rFonts w:ascii="Times New Roman" w:hAnsi="Times New Roman" w:cs="Times New Roman"/>
          <w:sz w:val="20"/>
          <w:szCs w:val="20"/>
        </w:rPr>
        <w:t>intentionally emerging because</w:t>
      </w:r>
      <w:r w:rsidRPr="00B07ED1">
        <w:rPr>
          <w:rFonts w:ascii="Times New Roman" w:hAnsi="Times New Roman" w:cs="Times New Roman"/>
          <w:b/>
          <w:bCs/>
          <w:sz w:val="20"/>
          <w:szCs w:val="20"/>
        </w:rPr>
        <w:t xml:space="preserve"> </w:t>
      </w:r>
      <w:r w:rsidRPr="00B07ED1">
        <w:rPr>
          <w:rFonts w:ascii="Times New Roman" w:hAnsi="Times New Roman" w:cs="Times New Roman"/>
          <w:sz w:val="20"/>
          <w:szCs w:val="20"/>
        </w:rPr>
        <w:t>it is critically commended to introduce ‘Age-Based’ compensation system instead of ‘performance-based’ compensation systems. Because in the coming future, a significant portion of the workforce will be represented by the ‘first time retired employees’ so that age-based compensation system could lead to create a ‘retiree-friendly atmosphere’ within organizations.</w:t>
      </w:r>
    </w:p>
    <w:p w:rsidR="00B07ED1" w:rsidRPr="00B07ED1" w:rsidRDefault="00B07ED1" w:rsidP="00B07ED1">
      <w:pPr>
        <w:spacing w:after="0" w:line="240" w:lineRule="auto"/>
        <w:jc w:val="both"/>
        <w:rPr>
          <w:rFonts w:ascii="Times New Roman" w:hAnsi="Times New Roman" w:cs="Times New Roman"/>
          <w:sz w:val="20"/>
          <w:szCs w:val="20"/>
        </w:rPr>
      </w:pPr>
    </w:p>
    <w:p w:rsidR="00B07ED1" w:rsidRDefault="00B07ED1" w:rsidP="00B07ED1">
      <w:pPr>
        <w:spacing w:after="0" w:line="240" w:lineRule="auto"/>
        <w:jc w:val="both"/>
        <w:rPr>
          <w:rFonts w:ascii="Times New Roman" w:hAnsi="Times New Roman" w:cs="Times New Roman"/>
          <w:sz w:val="20"/>
          <w:szCs w:val="20"/>
        </w:rPr>
      </w:pPr>
      <w:r w:rsidRPr="00B07ED1">
        <w:rPr>
          <w:rFonts w:ascii="Times New Roman" w:hAnsi="Times New Roman" w:cs="Times New Roman"/>
          <w:sz w:val="20"/>
          <w:szCs w:val="20"/>
        </w:rPr>
        <w:t xml:space="preserve">Developing an initial questionnaire including quantifiable scales to measure the qualitative concept, post-retirement employment is recognized as one of significant contribution from this study to the existing academia. But still this questionnaire is not a standardized measurement so that it is critically needed the studies in future attempting to standardize the measurement scales. </w:t>
      </w:r>
    </w:p>
    <w:p w:rsidR="00B07ED1" w:rsidRDefault="00B07ED1" w:rsidP="00B07ED1">
      <w:pPr>
        <w:spacing w:after="0" w:line="240" w:lineRule="auto"/>
        <w:jc w:val="both"/>
        <w:rPr>
          <w:rFonts w:ascii="Times New Roman" w:hAnsi="Times New Roman" w:cs="Times New Roman"/>
          <w:sz w:val="20"/>
          <w:szCs w:val="20"/>
        </w:rPr>
      </w:pPr>
    </w:p>
    <w:p w:rsidR="00B07ED1" w:rsidRDefault="00B07ED1" w:rsidP="00B07ED1">
      <w:pPr>
        <w:spacing w:after="0" w:line="240" w:lineRule="auto"/>
        <w:jc w:val="both"/>
        <w:rPr>
          <w:rFonts w:ascii="Times New Roman" w:hAnsi="Times New Roman" w:cs="Times New Roman"/>
          <w:b/>
          <w:sz w:val="20"/>
          <w:szCs w:val="20"/>
        </w:rPr>
      </w:pPr>
      <w:r w:rsidRPr="00B07ED1">
        <w:rPr>
          <w:rFonts w:ascii="Times New Roman" w:hAnsi="Times New Roman" w:cs="Times New Roman"/>
          <w:b/>
          <w:sz w:val="20"/>
          <w:szCs w:val="20"/>
        </w:rPr>
        <w:t xml:space="preserve">Future Research Potentials </w:t>
      </w:r>
    </w:p>
    <w:p w:rsidR="00B07ED1" w:rsidRDefault="00B07ED1" w:rsidP="00B07ED1">
      <w:pPr>
        <w:spacing w:after="0" w:line="240" w:lineRule="auto"/>
        <w:jc w:val="both"/>
        <w:rPr>
          <w:rFonts w:ascii="Times New Roman" w:hAnsi="Times New Roman" w:cs="Times New Roman"/>
          <w:b/>
          <w:sz w:val="20"/>
          <w:szCs w:val="20"/>
        </w:rPr>
      </w:pPr>
    </w:p>
    <w:p w:rsidR="00B07ED1" w:rsidRPr="00B07ED1" w:rsidRDefault="00B07ED1" w:rsidP="00B07ED1">
      <w:pPr>
        <w:spacing w:after="0" w:line="240" w:lineRule="auto"/>
        <w:jc w:val="both"/>
        <w:rPr>
          <w:rFonts w:ascii="Times New Roman" w:hAnsi="Times New Roman" w:cs="Times New Roman"/>
          <w:bCs/>
          <w:sz w:val="20"/>
          <w:szCs w:val="20"/>
        </w:rPr>
      </w:pPr>
      <w:r w:rsidRPr="00B07ED1">
        <w:rPr>
          <w:rFonts w:ascii="Times New Roman" w:hAnsi="Times New Roman" w:cs="Times New Roman"/>
          <w:bCs/>
          <w:sz w:val="20"/>
          <w:szCs w:val="20"/>
        </w:rPr>
        <w:t xml:space="preserve">Since this is the first exploratory study carried out in Sri Lankan context in digging out the factors affected to post-retirement employment in Sri Lanka, it is further suggested to find out the following research gaps through launching scientific studies depending on the insights produced by the current study. </w:t>
      </w:r>
    </w:p>
    <w:p w:rsidR="00B07ED1" w:rsidRPr="00B07ED1" w:rsidRDefault="00B07ED1" w:rsidP="00B07ED1">
      <w:pPr>
        <w:pStyle w:val="ListParagraph"/>
        <w:spacing w:after="0" w:line="240" w:lineRule="auto"/>
        <w:ind w:left="360"/>
        <w:rPr>
          <w:rFonts w:ascii="Times New Roman" w:hAnsi="Times New Roman" w:cs="Times New Roman"/>
          <w:b/>
          <w:bCs/>
          <w:sz w:val="20"/>
          <w:szCs w:val="20"/>
        </w:rPr>
      </w:pPr>
    </w:p>
    <w:p w:rsidR="00B07ED1" w:rsidRPr="00B07ED1" w:rsidRDefault="00B07ED1" w:rsidP="00B07ED1">
      <w:pPr>
        <w:pStyle w:val="ListParagraph"/>
        <w:numPr>
          <w:ilvl w:val="0"/>
          <w:numId w:val="3"/>
        </w:numPr>
        <w:spacing w:line="240" w:lineRule="auto"/>
        <w:jc w:val="both"/>
        <w:rPr>
          <w:rFonts w:ascii="Times New Roman" w:hAnsi="Times New Roman" w:cs="Times New Roman"/>
          <w:sz w:val="20"/>
          <w:szCs w:val="20"/>
        </w:rPr>
      </w:pPr>
      <w:r w:rsidRPr="00B07ED1">
        <w:rPr>
          <w:rFonts w:ascii="Times New Roman" w:hAnsi="Times New Roman" w:cs="Times New Roman"/>
          <w:sz w:val="20"/>
          <w:szCs w:val="20"/>
        </w:rPr>
        <w:t>How discrimination practices impact on the post – retirement employment in Sri Lanka? (Determinant of intentions of the employer is not covered by this study).</w:t>
      </w:r>
    </w:p>
    <w:p w:rsidR="00B07ED1" w:rsidRPr="00B07ED1" w:rsidRDefault="00B07ED1" w:rsidP="00B07ED1">
      <w:pPr>
        <w:pStyle w:val="ListParagraph"/>
        <w:numPr>
          <w:ilvl w:val="0"/>
          <w:numId w:val="3"/>
        </w:numPr>
        <w:spacing w:line="240" w:lineRule="auto"/>
        <w:jc w:val="both"/>
        <w:rPr>
          <w:rFonts w:ascii="Times New Roman" w:hAnsi="Times New Roman" w:cs="Times New Roman"/>
          <w:sz w:val="20"/>
          <w:szCs w:val="20"/>
        </w:rPr>
      </w:pPr>
      <w:r w:rsidRPr="00B07ED1">
        <w:rPr>
          <w:rFonts w:ascii="Times New Roman" w:hAnsi="Times New Roman" w:cs="Times New Roman"/>
          <w:sz w:val="20"/>
          <w:szCs w:val="20"/>
        </w:rPr>
        <w:t>Impact of Crude Birth Rate (CBR) and Crude Death Rate (CDR) on Post – Retirement Employment in Sri Lanka. (Fully neglected from the analysis in this study).</w:t>
      </w:r>
    </w:p>
    <w:p w:rsidR="00B07ED1" w:rsidRPr="00B07ED1" w:rsidRDefault="00B07ED1" w:rsidP="00B07ED1">
      <w:pPr>
        <w:pStyle w:val="ListParagraph"/>
        <w:numPr>
          <w:ilvl w:val="0"/>
          <w:numId w:val="3"/>
        </w:numPr>
        <w:spacing w:line="240" w:lineRule="auto"/>
        <w:jc w:val="both"/>
        <w:rPr>
          <w:rFonts w:ascii="Times New Roman" w:hAnsi="Times New Roman" w:cs="Times New Roman"/>
          <w:sz w:val="20"/>
          <w:szCs w:val="20"/>
        </w:rPr>
      </w:pPr>
      <w:r w:rsidRPr="00B07ED1">
        <w:rPr>
          <w:rFonts w:ascii="Times New Roman" w:hAnsi="Times New Roman" w:cs="Times New Roman"/>
          <w:sz w:val="20"/>
          <w:szCs w:val="20"/>
        </w:rPr>
        <w:lastRenderedPageBreak/>
        <w:t>More researching on the impact of Sri Lankan labour legislature on Post – Retirement Employment in Sri Lanka. (Legal enforcements)</w:t>
      </w:r>
    </w:p>
    <w:p w:rsidR="00A546D7" w:rsidRDefault="00B07ED1" w:rsidP="000E0E19">
      <w:pPr>
        <w:pStyle w:val="ListParagraph"/>
        <w:numPr>
          <w:ilvl w:val="0"/>
          <w:numId w:val="3"/>
        </w:numPr>
        <w:spacing w:line="240" w:lineRule="auto"/>
        <w:jc w:val="both"/>
        <w:rPr>
          <w:rFonts w:ascii="Times New Roman" w:hAnsi="Times New Roman" w:cs="Times New Roman"/>
          <w:sz w:val="20"/>
          <w:szCs w:val="20"/>
        </w:rPr>
      </w:pPr>
      <w:r w:rsidRPr="00B07ED1">
        <w:rPr>
          <w:rFonts w:ascii="Times New Roman" w:hAnsi="Times New Roman" w:cs="Times New Roman"/>
          <w:sz w:val="20"/>
          <w:szCs w:val="20"/>
        </w:rPr>
        <w:t>Relationship between earnings and Post – Retirement Employment.</w:t>
      </w:r>
    </w:p>
    <w:p w:rsidR="00CD2132" w:rsidRPr="005303B6" w:rsidRDefault="00CD2132" w:rsidP="00CD2132">
      <w:pPr>
        <w:pStyle w:val="AbstractStyle"/>
        <w:spacing w:after="200"/>
        <w:rPr>
          <w:b/>
          <w:i w:val="0"/>
          <w:sz w:val="22"/>
        </w:rPr>
      </w:pPr>
      <w:r w:rsidRPr="005303B6">
        <w:rPr>
          <w:b/>
          <w:i w:val="0"/>
          <w:sz w:val="22"/>
        </w:rPr>
        <w:t>References</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Aaltio, I., Salminen, H. M., &amp; Koponen, S. (2014). employees and human resource management – evidence of gender-sensitivity? </w:t>
      </w:r>
      <w:r w:rsidRPr="00CD2132">
        <w:rPr>
          <w:rFonts w:ascii="Times New Roman" w:hAnsi="Times New Roman" w:cs="Times New Roman"/>
          <w:i/>
          <w:iCs/>
          <w:noProof/>
          <w:sz w:val="20"/>
          <w:szCs w:val="20"/>
        </w:rPr>
        <w:t>Equality, Diversity and Inclusion: An International Journal, 33</w:t>
      </w:r>
      <w:r w:rsidRPr="00CD2132">
        <w:rPr>
          <w:rFonts w:ascii="Times New Roman" w:hAnsi="Times New Roman" w:cs="Times New Roman"/>
          <w:noProof/>
          <w:sz w:val="20"/>
          <w:szCs w:val="20"/>
        </w:rPr>
        <w:t>(2), 160-176. doi:https://doi.org/10.1108/EDI-10-2011-0076</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Arrowsmith, J., &amp; McGoldrick, A. E. (1997). A flexible future for older workers? </w:t>
      </w:r>
      <w:r w:rsidRPr="00CD2132">
        <w:rPr>
          <w:rFonts w:ascii="Times New Roman" w:hAnsi="Times New Roman" w:cs="Times New Roman"/>
          <w:i/>
          <w:iCs/>
          <w:noProof/>
          <w:sz w:val="20"/>
          <w:szCs w:val="20"/>
        </w:rPr>
        <w:t>Personnel Review, 26</w:t>
      </w:r>
      <w:r w:rsidRPr="00CD2132">
        <w:rPr>
          <w:rFonts w:ascii="Times New Roman" w:hAnsi="Times New Roman" w:cs="Times New Roman"/>
          <w:noProof/>
          <w:sz w:val="20"/>
          <w:szCs w:val="20"/>
        </w:rPr>
        <w:t>(4), 258-273. doi:https://doi.org/10.1108/00483489710172060</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Beck, V., &amp; Quinn, M. (2012). Older and younger workers: the equalling effects of health. </w:t>
      </w:r>
      <w:r w:rsidRPr="00CD2132">
        <w:rPr>
          <w:rFonts w:ascii="Times New Roman" w:hAnsi="Times New Roman" w:cs="Times New Roman"/>
          <w:i/>
          <w:iCs/>
          <w:noProof/>
          <w:sz w:val="20"/>
          <w:szCs w:val="20"/>
        </w:rPr>
        <w:t>Education + Training, 54</w:t>
      </w:r>
      <w:r w:rsidRPr="00CD2132">
        <w:rPr>
          <w:rFonts w:ascii="Times New Roman" w:hAnsi="Times New Roman" w:cs="Times New Roman"/>
          <w:noProof/>
          <w:sz w:val="20"/>
          <w:szCs w:val="20"/>
        </w:rPr>
        <w:t>(7), 592-696. doi:10.1108/00400911211265639</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Bekemans, L. (2007). SOCIAL SECURITY AND EMPLOYMENT: AN INSTRUMENTAL LINK. </w:t>
      </w:r>
      <w:r w:rsidRPr="00CD2132">
        <w:rPr>
          <w:rFonts w:ascii="Times New Roman" w:hAnsi="Times New Roman" w:cs="Times New Roman"/>
          <w:i/>
          <w:iCs/>
          <w:noProof/>
          <w:sz w:val="20"/>
          <w:szCs w:val="20"/>
        </w:rPr>
        <w:t>International Journal of Sociology and Social Policy</w:t>
      </w:r>
      <w:r w:rsidRPr="00CD2132">
        <w:rPr>
          <w:rFonts w:ascii="Times New Roman" w:hAnsi="Times New Roman" w:cs="Times New Roman"/>
          <w:noProof/>
          <w:sz w:val="20"/>
          <w:szCs w:val="20"/>
        </w:rPr>
        <w:t>, 19-28.</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Buyens, D., Dijk, H. V., Dewilde, T., &amp; De Vos, A. (2009). The aging workforce: perception of career ending. </w:t>
      </w:r>
      <w:r w:rsidRPr="00CD2132">
        <w:rPr>
          <w:rFonts w:ascii="Times New Roman" w:hAnsi="Times New Roman" w:cs="Times New Roman"/>
          <w:i/>
          <w:iCs/>
          <w:noProof/>
          <w:sz w:val="20"/>
          <w:szCs w:val="20"/>
        </w:rPr>
        <w:t>Journal of Managerial Psychology, 24</w:t>
      </w:r>
      <w:r w:rsidRPr="00CD2132">
        <w:rPr>
          <w:rFonts w:ascii="Times New Roman" w:hAnsi="Times New Roman" w:cs="Times New Roman"/>
          <w:noProof/>
          <w:sz w:val="20"/>
          <w:szCs w:val="20"/>
        </w:rPr>
        <w:t>(2), 102-117. Retrieved July 06, 2017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Cadiz, D. M., Pytlovany, A. C., &amp; Truxillo, D. M. (2017, March). Ageism in the Workplace. </w:t>
      </w:r>
      <w:r w:rsidRPr="00CD2132">
        <w:rPr>
          <w:rFonts w:ascii="Times New Roman" w:hAnsi="Times New Roman" w:cs="Times New Roman"/>
          <w:i/>
          <w:iCs/>
          <w:noProof/>
          <w:sz w:val="20"/>
          <w:szCs w:val="20"/>
        </w:rPr>
        <w:t>Oxford Research Encyclopedia of Psychology</w:t>
      </w:r>
      <w:r w:rsidRPr="00CD2132">
        <w:rPr>
          <w:rFonts w:ascii="Times New Roman" w:hAnsi="Times New Roman" w:cs="Times New Roman"/>
          <w:noProof/>
          <w:sz w:val="20"/>
          <w:szCs w:val="20"/>
        </w:rPr>
        <w:t>, 1-24. doi:10.1093/acrefore/9780190236557.013.2</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lastRenderedPageBreak/>
        <w:t xml:space="preserve">Central Bank of Sri Lanka. (1998). </w:t>
      </w:r>
      <w:r w:rsidRPr="00CD2132">
        <w:rPr>
          <w:rFonts w:ascii="Times New Roman" w:hAnsi="Times New Roman" w:cs="Times New Roman"/>
          <w:i/>
          <w:iCs/>
          <w:noProof/>
          <w:sz w:val="20"/>
          <w:szCs w:val="20"/>
        </w:rPr>
        <w:t>EMPLOYEES’ PROVIDENT FUND ACT (Incorporating Amendments up to 31st December, 1998 ).</w:t>
      </w:r>
      <w:r w:rsidRPr="00CD2132">
        <w:rPr>
          <w:rFonts w:ascii="Times New Roman" w:hAnsi="Times New Roman" w:cs="Times New Roman"/>
          <w:noProof/>
          <w:sz w:val="20"/>
          <w:szCs w:val="20"/>
        </w:rPr>
        <w:t xml:space="preserve"> Colombo: Department of Government Printing, Sri Lanka.</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Central Bank of Sri Lanka. (2015). </w:t>
      </w:r>
      <w:r w:rsidRPr="00CD2132">
        <w:rPr>
          <w:rFonts w:ascii="Times New Roman" w:hAnsi="Times New Roman" w:cs="Times New Roman"/>
          <w:i/>
          <w:iCs/>
          <w:noProof/>
          <w:sz w:val="20"/>
          <w:szCs w:val="20"/>
        </w:rPr>
        <w:t>ECONOMIC AND SOCIAL STATISTICS OF SRI LANKA 2015</w:t>
      </w:r>
      <w:r w:rsidRPr="00CD2132">
        <w:rPr>
          <w:rFonts w:ascii="Times New Roman" w:hAnsi="Times New Roman" w:cs="Times New Roman"/>
          <w:noProof/>
          <w:sz w:val="20"/>
          <w:szCs w:val="20"/>
        </w:rPr>
        <w:t xml:space="preserve"> (Vol. 37). Rajagiriya, Western, Sri Lanka: Central Bank Printing Press.</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Central Bank of Sri Lanka. (2016). </w:t>
      </w:r>
      <w:r w:rsidRPr="00CD2132">
        <w:rPr>
          <w:rFonts w:ascii="Times New Roman" w:hAnsi="Times New Roman" w:cs="Times New Roman"/>
          <w:i/>
          <w:iCs/>
          <w:noProof/>
          <w:sz w:val="20"/>
          <w:szCs w:val="20"/>
        </w:rPr>
        <w:t>Annual Report - 2016.</w:t>
      </w:r>
      <w:r w:rsidRPr="00CD2132">
        <w:rPr>
          <w:rFonts w:ascii="Times New Roman" w:hAnsi="Times New Roman" w:cs="Times New Roman"/>
          <w:noProof/>
          <w:sz w:val="20"/>
          <w:szCs w:val="20"/>
        </w:rPr>
        <w:t xml:space="preserve"> Colombo: Central Bank of Sri Lanka.</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Charni, K., &amp; Bazen, S. (2017). 2017. </w:t>
      </w:r>
      <w:r w:rsidRPr="00CD2132">
        <w:rPr>
          <w:rFonts w:ascii="Times New Roman" w:hAnsi="Times New Roman" w:cs="Times New Roman"/>
          <w:i/>
          <w:iCs/>
          <w:noProof/>
          <w:sz w:val="20"/>
          <w:szCs w:val="20"/>
        </w:rPr>
        <w:t>International Journal of Manpower, 38</w:t>
      </w:r>
      <w:r w:rsidRPr="00CD2132">
        <w:rPr>
          <w:rFonts w:ascii="Times New Roman" w:hAnsi="Times New Roman" w:cs="Times New Roman"/>
          <w:noProof/>
          <w:sz w:val="20"/>
          <w:szCs w:val="20"/>
        </w:rPr>
        <w:t>(1), 4-24.</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Cheung, F., &amp; Wu, A. M. (2013). Older workers' successful aging and intention to stay. </w:t>
      </w:r>
      <w:r w:rsidRPr="00CD2132">
        <w:rPr>
          <w:rFonts w:ascii="Times New Roman" w:hAnsi="Times New Roman" w:cs="Times New Roman"/>
          <w:i/>
          <w:iCs/>
          <w:noProof/>
          <w:sz w:val="20"/>
          <w:szCs w:val="20"/>
        </w:rPr>
        <w:t>Journal of Managerial Psychology, 28</w:t>
      </w:r>
      <w:r w:rsidRPr="00CD2132">
        <w:rPr>
          <w:rFonts w:ascii="Times New Roman" w:hAnsi="Times New Roman" w:cs="Times New Roman"/>
          <w:noProof/>
          <w:sz w:val="20"/>
          <w:szCs w:val="20"/>
        </w:rPr>
        <w:t>(6), 645-660.</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Conen, W. S., Dalen, H. P., &amp; Henkens, K. (2012). Ageing and employers’ perceptions of labour costs and productivity. </w:t>
      </w:r>
      <w:r w:rsidRPr="00CD2132">
        <w:rPr>
          <w:rFonts w:ascii="Times New Roman" w:hAnsi="Times New Roman" w:cs="Times New Roman"/>
          <w:i/>
          <w:iCs/>
          <w:noProof/>
          <w:sz w:val="20"/>
          <w:szCs w:val="20"/>
        </w:rPr>
        <w:t>International Journal of Manpower</w:t>
      </w:r>
      <w:r w:rsidRPr="00CD2132">
        <w:rPr>
          <w:rFonts w:ascii="Times New Roman" w:hAnsi="Times New Roman" w:cs="Times New Roman"/>
          <w:noProof/>
          <w:sz w:val="20"/>
          <w:szCs w:val="20"/>
        </w:rPr>
        <w:t>, 629-647.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De Silva, I. W., &amp; Fernando, D. P. (2013, July). Changing Causes and Consequences of Labour Force Participation Trends among the Elderly in Sri Lanka. </w:t>
      </w:r>
      <w:r w:rsidRPr="00CD2132">
        <w:rPr>
          <w:rFonts w:ascii="Times New Roman" w:hAnsi="Times New Roman" w:cs="Times New Roman"/>
          <w:i/>
          <w:iCs/>
          <w:noProof/>
          <w:sz w:val="20"/>
          <w:szCs w:val="20"/>
        </w:rPr>
        <w:t>Sri Lanka Journal of Advanced Social Studies, 3</w:t>
      </w:r>
      <w:r w:rsidRPr="00CD2132">
        <w:rPr>
          <w:rFonts w:ascii="Times New Roman" w:hAnsi="Times New Roman" w:cs="Times New Roman"/>
          <w:noProof/>
          <w:sz w:val="20"/>
          <w:szCs w:val="20"/>
        </w:rPr>
        <w:t>(2).</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Department of Census and Statistics. (2016). </w:t>
      </w:r>
      <w:r w:rsidRPr="00CD2132">
        <w:rPr>
          <w:rFonts w:ascii="Times New Roman" w:hAnsi="Times New Roman" w:cs="Times New Roman"/>
          <w:i/>
          <w:iCs/>
          <w:noProof/>
          <w:sz w:val="20"/>
          <w:szCs w:val="20"/>
        </w:rPr>
        <w:t>Sri Lanka Labour Force Survey Annual Report - 2016.</w:t>
      </w:r>
      <w:r w:rsidRPr="00CD2132">
        <w:rPr>
          <w:rFonts w:ascii="Times New Roman" w:hAnsi="Times New Roman" w:cs="Times New Roman"/>
          <w:noProof/>
          <w:sz w:val="20"/>
          <w:szCs w:val="20"/>
        </w:rPr>
        <w:t xml:space="preserve"> Ministry of National Policies &amp; Economic Affairs, Department of Census and Statistics. Colombo: Ministry of National Policies &amp; Economic Affairs.</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Dessler, G., &amp; Varkkey, B. (2009). </w:t>
      </w:r>
      <w:r w:rsidRPr="00CD2132">
        <w:rPr>
          <w:rFonts w:ascii="Times New Roman" w:hAnsi="Times New Roman" w:cs="Times New Roman"/>
          <w:i/>
          <w:iCs/>
          <w:noProof/>
          <w:sz w:val="20"/>
          <w:szCs w:val="20"/>
        </w:rPr>
        <w:t xml:space="preserve">HUMAN RESOURCE </w:t>
      </w:r>
      <w:r w:rsidRPr="00CD2132">
        <w:rPr>
          <w:rFonts w:ascii="Times New Roman" w:hAnsi="Times New Roman" w:cs="Times New Roman"/>
          <w:i/>
          <w:iCs/>
          <w:noProof/>
          <w:sz w:val="20"/>
          <w:szCs w:val="20"/>
        </w:rPr>
        <w:lastRenderedPageBreak/>
        <w:t xml:space="preserve">MANAGEMENT </w:t>
      </w:r>
      <w:r w:rsidRPr="00CD2132">
        <w:rPr>
          <w:rFonts w:ascii="Times New Roman" w:hAnsi="Times New Roman" w:cs="Times New Roman"/>
          <w:noProof/>
          <w:sz w:val="20"/>
          <w:szCs w:val="20"/>
        </w:rPr>
        <w:t>(11 ed.). New Delhi, India: Dorling Kindersley (India) Pvt. Ltd.</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Dumay, J., &amp; Rooney, J. (2011). Dealing with an ageing workforce: current and future implications. </w:t>
      </w:r>
      <w:r w:rsidRPr="00CD2132">
        <w:rPr>
          <w:rFonts w:ascii="Times New Roman" w:hAnsi="Times New Roman" w:cs="Times New Roman"/>
          <w:i/>
          <w:iCs/>
          <w:noProof/>
          <w:sz w:val="20"/>
          <w:szCs w:val="20"/>
        </w:rPr>
        <w:t>Journal of Human Resource Costing &amp; Accounting, 15</w:t>
      </w:r>
      <w:r w:rsidRPr="00CD2132">
        <w:rPr>
          <w:rFonts w:ascii="Times New Roman" w:hAnsi="Times New Roman" w:cs="Times New Roman"/>
          <w:noProof/>
          <w:sz w:val="20"/>
          <w:szCs w:val="20"/>
        </w:rPr>
        <w:t>(3), 174-195. Retrieved July 07, 2017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Emanuel, D., Simon, F., &amp; Segars, B. M. (2016). Aging and motivation to stay employable. </w:t>
      </w:r>
      <w:r w:rsidRPr="00CD2132">
        <w:rPr>
          <w:rFonts w:ascii="Times New Roman" w:hAnsi="Times New Roman" w:cs="Times New Roman"/>
          <w:i/>
          <w:iCs/>
          <w:noProof/>
          <w:sz w:val="20"/>
          <w:szCs w:val="20"/>
        </w:rPr>
        <w:t>Journal of Managerial Psychology, 31</w:t>
      </w:r>
      <w:r w:rsidRPr="00CD2132">
        <w:rPr>
          <w:rFonts w:ascii="Times New Roman" w:hAnsi="Times New Roman" w:cs="Times New Roman"/>
          <w:noProof/>
          <w:sz w:val="20"/>
          <w:szCs w:val="20"/>
        </w:rPr>
        <w:t>(3), 1-25. Retrieved March 01, 2016</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Fasbender, U., Wang, M., Voltmer, J.-B., &amp; Deller, J. (2015, June 3). The Meaning of Work for Post - retirement Employment Decision. </w:t>
      </w:r>
      <w:r w:rsidRPr="00CD2132">
        <w:rPr>
          <w:rFonts w:ascii="Times New Roman" w:hAnsi="Times New Roman" w:cs="Times New Roman"/>
          <w:i/>
          <w:iCs/>
          <w:noProof/>
          <w:sz w:val="20"/>
          <w:szCs w:val="20"/>
        </w:rPr>
        <w:t>Work, Aging and Retirement, 2</w:t>
      </w:r>
      <w:r w:rsidRPr="00CD2132">
        <w:rPr>
          <w:rFonts w:ascii="Times New Roman" w:hAnsi="Times New Roman" w:cs="Times New Roman"/>
          <w:noProof/>
          <w:sz w:val="20"/>
          <w:szCs w:val="20"/>
        </w:rPr>
        <w:t>, 12-23.</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Fawaz, Y. (2017, April). To claim or to retire: the social security claiming decision of employed and unemployed workers. </w:t>
      </w:r>
      <w:r w:rsidRPr="00CD2132">
        <w:rPr>
          <w:rFonts w:ascii="Times New Roman" w:hAnsi="Times New Roman" w:cs="Times New Roman"/>
          <w:i/>
          <w:iCs/>
          <w:noProof/>
          <w:sz w:val="20"/>
          <w:szCs w:val="20"/>
        </w:rPr>
        <w:t>International Journal of Manpower, 38</w:t>
      </w:r>
      <w:r w:rsidRPr="00CD2132">
        <w:rPr>
          <w:rFonts w:ascii="Times New Roman" w:hAnsi="Times New Roman" w:cs="Times New Roman"/>
          <w:noProof/>
          <w:sz w:val="20"/>
          <w:szCs w:val="20"/>
        </w:rPr>
        <w:t>(3), 2-27. doi:10.1108/IJM-08-2015-0127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Feldman, D. C., &amp; Turnley, W. H. (1995). Factors Influencing Intentions to Retire: An Empirical Test of Theoretical Propositions. </w:t>
      </w:r>
      <w:r w:rsidRPr="00CD2132">
        <w:rPr>
          <w:rFonts w:ascii="Times New Roman" w:hAnsi="Times New Roman" w:cs="Times New Roman"/>
          <w:i/>
          <w:iCs/>
          <w:noProof/>
          <w:sz w:val="20"/>
          <w:szCs w:val="20"/>
        </w:rPr>
        <w:t>Management Research News, 18</w:t>
      </w:r>
      <w:r w:rsidRPr="00CD2132">
        <w:rPr>
          <w:rFonts w:ascii="Times New Roman" w:hAnsi="Times New Roman" w:cs="Times New Roman"/>
          <w:noProof/>
          <w:sz w:val="20"/>
          <w:szCs w:val="20"/>
        </w:rPr>
        <w:t>, 28-45.</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Flynn, M. (2010). Who would delay retirement? Typologies of older workers. </w:t>
      </w:r>
      <w:r w:rsidRPr="00CD2132">
        <w:rPr>
          <w:rFonts w:ascii="Times New Roman" w:hAnsi="Times New Roman" w:cs="Times New Roman"/>
          <w:i/>
          <w:iCs/>
          <w:noProof/>
          <w:sz w:val="20"/>
          <w:szCs w:val="20"/>
        </w:rPr>
        <w:t>Personnel review, 39</w:t>
      </w:r>
      <w:r w:rsidRPr="00CD2132">
        <w:rPr>
          <w:rFonts w:ascii="Times New Roman" w:hAnsi="Times New Roman" w:cs="Times New Roman"/>
          <w:noProof/>
          <w:sz w:val="20"/>
          <w:szCs w:val="20"/>
        </w:rPr>
        <w:t>(3), 308-324. Retrieved July 07, 2017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Gamage, P. (2013). </w:t>
      </w:r>
      <w:r w:rsidRPr="00CD2132">
        <w:rPr>
          <w:rFonts w:ascii="Times New Roman" w:hAnsi="Times New Roman" w:cs="Times New Roman"/>
          <w:i/>
          <w:iCs/>
          <w:noProof/>
          <w:sz w:val="20"/>
          <w:szCs w:val="20"/>
        </w:rPr>
        <w:t>Industrial Law.</w:t>
      </w:r>
      <w:r w:rsidRPr="00CD2132">
        <w:rPr>
          <w:rFonts w:ascii="Times New Roman" w:hAnsi="Times New Roman" w:cs="Times New Roman"/>
          <w:noProof/>
          <w:sz w:val="20"/>
          <w:szCs w:val="20"/>
        </w:rPr>
        <w:t xml:space="preserve"> Colombo, Sri Lanka: S. Godage and Sons (Pvt.) Ltd.</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Hallberg, D., &amp; Eklof, M. (2010). Do buy-outs of older workers matter? Estimating retirement behavior with special early retirement offers. </w:t>
      </w:r>
      <w:r w:rsidRPr="00CD2132">
        <w:rPr>
          <w:rFonts w:ascii="Times New Roman" w:hAnsi="Times New Roman" w:cs="Times New Roman"/>
          <w:i/>
          <w:iCs/>
          <w:noProof/>
          <w:sz w:val="20"/>
          <w:szCs w:val="20"/>
        </w:rPr>
        <w:lastRenderedPageBreak/>
        <w:t>International Journal of Manpower, 3</w:t>
      </w:r>
      <w:r w:rsidRPr="00CD2132">
        <w:rPr>
          <w:rFonts w:ascii="Times New Roman" w:hAnsi="Times New Roman" w:cs="Times New Roman"/>
          <w:noProof/>
          <w:sz w:val="20"/>
          <w:szCs w:val="20"/>
        </w:rPr>
        <w:t>(3), 337-359.</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Hurd, M. D. (1993). </w:t>
      </w:r>
      <w:r w:rsidRPr="00CD2132">
        <w:rPr>
          <w:rFonts w:ascii="Times New Roman" w:hAnsi="Times New Roman" w:cs="Times New Roman"/>
          <w:i/>
          <w:iCs/>
          <w:noProof/>
          <w:sz w:val="20"/>
          <w:szCs w:val="20"/>
        </w:rPr>
        <w:t>The Effect of Labour Market Rigidities on the Labour Force Behavior of Older Workers.</w:t>
      </w:r>
      <w:r w:rsidRPr="00CD2132">
        <w:rPr>
          <w:rFonts w:ascii="Times New Roman" w:hAnsi="Times New Roman" w:cs="Times New Roman"/>
          <w:noProof/>
          <w:sz w:val="20"/>
          <w:szCs w:val="20"/>
        </w:rPr>
        <w:t xml:space="preserve"> State University of New York at Stone Brook, Department of Economics. New York: National Bureau of Economic Research.</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Kautonen, T., Hytti, U., Bogenhold, D., &amp; Heinonen, J. (2012). Job satisfaction and retirement age intentions in Finland. </w:t>
      </w:r>
      <w:r w:rsidRPr="00CD2132">
        <w:rPr>
          <w:rFonts w:ascii="Times New Roman" w:hAnsi="Times New Roman" w:cs="Times New Roman"/>
          <w:i/>
          <w:iCs/>
          <w:noProof/>
          <w:sz w:val="20"/>
          <w:szCs w:val="20"/>
        </w:rPr>
        <w:t>International Journal of Manpower, 33</w:t>
      </w:r>
      <w:r w:rsidRPr="00CD2132">
        <w:rPr>
          <w:rFonts w:ascii="Times New Roman" w:hAnsi="Times New Roman" w:cs="Times New Roman"/>
          <w:noProof/>
          <w:sz w:val="20"/>
          <w:szCs w:val="20"/>
        </w:rPr>
        <w:t>(4), 424-440.</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Kodama, T. (2015). </w:t>
      </w:r>
      <w:r w:rsidRPr="00CD2132">
        <w:rPr>
          <w:rFonts w:ascii="Times New Roman" w:hAnsi="Times New Roman" w:cs="Times New Roman"/>
          <w:i/>
          <w:iCs/>
          <w:noProof/>
          <w:sz w:val="20"/>
          <w:szCs w:val="20"/>
        </w:rPr>
        <w:t>Elderly Employment in Japan.</w:t>
      </w:r>
      <w:r w:rsidRPr="00CD2132">
        <w:rPr>
          <w:rFonts w:ascii="Times New Roman" w:hAnsi="Times New Roman" w:cs="Times New Roman"/>
          <w:noProof/>
          <w:sz w:val="20"/>
          <w:szCs w:val="20"/>
        </w:rPr>
        <w:t xml:space="preserve"> Daiwa Institute of Research, Economic Research Department, Tokyo.</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Kooij, D., Lange, A. d., Jansen, P., &amp; Dikkers, J. (2008). Older workers' motivation to continue to work: five meanings of age: A conceptual review. </w:t>
      </w:r>
      <w:r w:rsidRPr="00CD2132">
        <w:rPr>
          <w:rFonts w:ascii="Times New Roman" w:hAnsi="Times New Roman" w:cs="Times New Roman"/>
          <w:i/>
          <w:iCs/>
          <w:noProof/>
          <w:sz w:val="20"/>
          <w:szCs w:val="20"/>
        </w:rPr>
        <w:t>Journal of Managerial Psychology, 23</w:t>
      </w:r>
      <w:r w:rsidRPr="00CD2132">
        <w:rPr>
          <w:rFonts w:ascii="Times New Roman" w:hAnsi="Times New Roman" w:cs="Times New Roman"/>
          <w:noProof/>
          <w:sz w:val="20"/>
          <w:szCs w:val="20"/>
        </w:rPr>
        <w:t>(4), 364-394. Retrieved April 28, 2015</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Kuhn, J. M. (2013). Age, Retirement and Establishment Closure. </w:t>
      </w:r>
      <w:r w:rsidRPr="00CD2132">
        <w:rPr>
          <w:rFonts w:ascii="Times New Roman" w:hAnsi="Times New Roman" w:cs="Times New Roman"/>
          <w:i/>
          <w:iCs/>
          <w:noProof/>
          <w:sz w:val="20"/>
          <w:szCs w:val="20"/>
        </w:rPr>
        <w:t>International Journal of Manpower</w:t>
      </w:r>
      <w:r w:rsidRPr="00CD2132">
        <w:rPr>
          <w:rFonts w:ascii="Times New Roman" w:hAnsi="Times New Roman" w:cs="Times New Roman"/>
          <w:noProof/>
          <w:sz w:val="20"/>
          <w:szCs w:val="20"/>
        </w:rPr>
        <w:t>, 536-551.</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Kwasniewski, B. W. (2010). The End of Mandatory Retirement: Legal Implications for Employers.</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Lain, D., &amp; Loretto, W. (2016). Managing employees beyond age 65: from the margins to the mainstream? </w:t>
      </w:r>
      <w:r w:rsidRPr="00CD2132">
        <w:rPr>
          <w:rFonts w:ascii="Times New Roman" w:hAnsi="Times New Roman" w:cs="Times New Roman"/>
          <w:i/>
          <w:iCs/>
          <w:noProof/>
          <w:sz w:val="20"/>
          <w:szCs w:val="20"/>
        </w:rPr>
        <w:t>Employee Relations, 38</w:t>
      </w:r>
      <w:r w:rsidRPr="00CD2132">
        <w:rPr>
          <w:rFonts w:ascii="Times New Roman" w:hAnsi="Times New Roman" w:cs="Times New Roman"/>
          <w:noProof/>
          <w:sz w:val="20"/>
          <w:szCs w:val="20"/>
        </w:rPr>
        <w:t>(5), 646-664. Retrieved July 06, 2017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Lim, V. K. (2003). An empirical study of older workers' attitudes towards the retirement experience. </w:t>
      </w:r>
      <w:r w:rsidRPr="00CD2132">
        <w:rPr>
          <w:rFonts w:ascii="Times New Roman" w:hAnsi="Times New Roman" w:cs="Times New Roman"/>
          <w:i/>
          <w:iCs/>
          <w:noProof/>
          <w:sz w:val="20"/>
          <w:szCs w:val="20"/>
        </w:rPr>
        <w:t>Employee Relations, 25</w:t>
      </w:r>
      <w:r w:rsidRPr="00CD2132">
        <w:rPr>
          <w:rFonts w:ascii="Times New Roman" w:hAnsi="Times New Roman" w:cs="Times New Roman"/>
          <w:noProof/>
          <w:sz w:val="20"/>
          <w:szCs w:val="20"/>
        </w:rPr>
        <w:t>(4), 330-346. Retrieved July 07, 2017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lastRenderedPageBreak/>
        <w:t xml:space="preserve">Messe, P.-J. (2012). Do discriminatory attitudes to older workers at work affect their retirement intentions? </w:t>
      </w:r>
      <w:r w:rsidRPr="00CD2132">
        <w:rPr>
          <w:rFonts w:ascii="Times New Roman" w:hAnsi="Times New Roman" w:cs="Times New Roman"/>
          <w:i/>
          <w:iCs/>
          <w:noProof/>
          <w:sz w:val="20"/>
          <w:szCs w:val="20"/>
        </w:rPr>
        <w:t>International Journal of Manpower, 33</w:t>
      </w:r>
      <w:r w:rsidRPr="00CD2132">
        <w:rPr>
          <w:rFonts w:ascii="Times New Roman" w:hAnsi="Times New Roman" w:cs="Times New Roman"/>
          <w:noProof/>
          <w:sz w:val="20"/>
          <w:szCs w:val="20"/>
        </w:rPr>
        <w:t>(4), 405-423.</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Newton, B. (2006). Training an age-diverse workforce. </w:t>
      </w:r>
      <w:r w:rsidRPr="00CD2132">
        <w:rPr>
          <w:rFonts w:ascii="Times New Roman" w:hAnsi="Times New Roman" w:cs="Times New Roman"/>
          <w:i/>
          <w:iCs/>
          <w:noProof/>
          <w:sz w:val="20"/>
          <w:szCs w:val="20"/>
        </w:rPr>
        <w:t>industrial and Commercial Training, 38</w:t>
      </w:r>
      <w:r w:rsidRPr="00CD2132">
        <w:rPr>
          <w:rFonts w:ascii="Times New Roman" w:hAnsi="Times New Roman" w:cs="Times New Roman"/>
          <w:noProof/>
          <w:sz w:val="20"/>
          <w:szCs w:val="20"/>
        </w:rPr>
        <w:t>(2), 93-97. Retrieved July 07, 2017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Parliament, H. o. (2011, October). Retrieved from www.parliament.uk/post: http://www.parliament.uk/post</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Patrickson, M., &amp; Ranzijn, R. (2003). Employability of older workers. </w:t>
      </w:r>
      <w:r w:rsidRPr="00CD2132">
        <w:rPr>
          <w:rFonts w:ascii="Times New Roman" w:hAnsi="Times New Roman" w:cs="Times New Roman"/>
          <w:i/>
          <w:iCs/>
          <w:noProof/>
          <w:sz w:val="20"/>
          <w:szCs w:val="20"/>
        </w:rPr>
        <w:t>Equal Opportunities International, 22</w:t>
      </w:r>
      <w:r w:rsidRPr="00CD2132">
        <w:rPr>
          <w:rFonts w:ascii="Times New Roman" w:hAnsi="Times New Roman" w:cs="Times New Roman"/>
          <w:noProof/>
          <w:sz w:val="20"/>
          <w:szCs w:val="20"/>
        </w:rPr>
        <w:t>(5), 50-63.</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Paul, R., Kate, W., &amp; Black, E. (2015). It’s never too late to learn. </w:t>
      </w:r>
      <w:r w:rsidRPr="00CD2132">
        <w:rPr>
          <w:rFonts w:ascii="Times New Roman" w:hAnsi="Times New Roman" w:cs="Times New Roman"/>
          <w:i/>
          <w:iCs/>
          <w:noProof/>
          <w:sz w:val="20"/>
          <w:szCs w:val="20"/>
        </w:rPr>
        <w:t>Journal of Workplace Learning, 27</w:t>
      </w:r>
      <w:r w:rsidRPr="00CD2132">
        <w:rPr>
          <w:rFonts w:ascii="Times New Roman" w:hAnsi="Times New Roman" w:cs="Times New Roman"/>
          <w:noProof/>
          <w:sz w:val="20"/>
          <w:szCs w:val="20"/>
        </w:rPr>
        <w:t>(6), 457-472.</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Roper, K. O., &amp; Yeh, D. C. (2007). Ergonomic solutions for an aging workforce. </w:t>
      </w:r>
      <w:r w:rsidRPr="00CD2132">
        <w:rPr>
          <w:rFonts w:ascii="Times New Roman" w:hAnsi="Times New Roman" w:cs="Times New Roman"/>
          <w:i/>
          <w:iCs/>
          <w:noProof/>
          <w:sz w:val="20"/>
          <w:szCs w:val="20"/>
        </w:rPr>
        <w:t>Journal of Facilities Management, 5</w:t>
      </w:r>
      <w:r w:rsidRPr="00CD2132">
        <w:rPr>
          <w:rFonts w:ascii="Times New Roman" w:hAnsi="Times New Roman" w:cs="Times New Roman"/>
          <w:noProof/>
          <w:sz w:val="20"/>
          <w:szCs w:val="20"/>
        </w:rPr>
        <w:t>(3), 172-178.</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Saunders, M., Lewis, P., &amp; Thornhill, A. (2009). </w:t>
      </w:r>
      <w:r w:rsidRPr="00CD2132">
        <w:rPr>
          <w:rFonts w:ascii="Times New Roman" w:hAnsi="Times New Roman" w:cs="Times New Roman"/>
          <w:i/>
          <w:iCs/>
          <w:noProof/>
          <w:sz w:val="20"/>
          <w:szCs w:val="20"/>
        </w:rPr>
        <w:t>Research Methods for Business Students</w:t>
      </w:r>
      <w:r w:rsidRPr="00CD2132">
        <w:rPr>
          <w:rFonts w:ascii="Times New Roman" w:hAnsi="Times New Roman" w:cs="Times New Roman"/>
          <w:noProof/>
          <w:sz w:val="20"/>
          <w:szCs w:val="20"/>
        </w:rPr>
        <w:t xml:space="preserve"> (5th ed.). Harlow, Essex, England: Pearson Education Limited.</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Schlosser, F., Zinni, D., &amp; Armstrong-Stassen, M. (2012). Intention to Unretire: HR and the boomerang effect. </w:t>
      </w:r>
      <w:r w:rsidRPr="00CD2132">
        <w:rPr>
          <w:rFonts w:ascii="Times New Roman" w:hAnsi="Times New Roman" w:cs="Times New Roman"/>
          <w:i/>
          <w:iCs/>
          <w:noProof/>
          <w:sz w:val="20"/>
          <w:szCs w:val="20"/>
        </w:rPr>
        <w:t>Career Development International, 17</w:t>
      </w:r>
      <w:r w:rsidRPr="00CD2132">
        <w:rPr>
          <w:rFonts w:ascii="Times New Roman" w:hAnsi="Times New Roman" w:cs="Times New Roman"/>
          <w:noProof/>
          <w:sz w:val="20"/>
          <w:szCs w:val="20"/>
        </w:rPr>
        <w:t>(2), 149-167. Retrieved July 07, 2017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Sekaran, U. (2010). </w:t>
      </w:r>
      <w:r w:rsidRPr="00CD2132">
        <w:rPr>
          <w:rFonts w:ascii="Times New Roman" w:hAnsi="Times New Roman" w:cs="Times New Roman"/>
          <w:i/>
          <w:iCs/>
          <w:noProof/>
          <w:sz w:val="20"/>
          <w:szCs w:val="20"/>
        </w:rPr>
        <w:t>Research Methods for Business - A Skill Building Approach.</w:t>
      </w:r>
      <w:r w:rsidRPr="00CD2132">
        <w:rPr>
          <w:rFonts w:ascii="Times New Roman" w:hAnsi="Times New Roman" w:cs="Times New Roman"/>
          <w:noProof/>
          <w:sz w:val="20"/>
          <w:szCs w:val="20"/>
        </w:rPr>
        <w:t xml:space="preserve"> (J. Marshall, Ed.) New York, NY, USA: John Wiley &amp; Sons, Inc.</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lastRenderedPageBreak/>
        <w:t xml:space="preserve">Shacklock, K., &amp; Brunetto, Y. (2011). A model of older workers' intentions to continue working. </w:t>
      </w:r>
      <w:r w:rsidRPr="00CD2132">
        <w:rPr>
          <w:rFonts w:ascii="Times New Roman" w:hAnsi="Times New Roman" w:cs="Times New Roman"/>
          <w:i/>
          <w:iCs/>
          <w:noProof/>
          <w:sz w:val="20"/>
          <w:szCs w:val="20"/>
        </w:rPr>
        <w:t>Personnel Review, 40</w:t>
      </w:r>
      <w:r w:rsidRPr="00CD2132">
        <w:rPr>
          <w:rFonts w:ascii="Times New Roman" w:hAnsi="Times New Roman" w:cs="Times New Roman"/>
          <w:noProof/>
          <w:sz w:val="20"/>
          <w:szCs w:val="20"/>
        </w:rPr>
        <w:t>(2), 252-274. Retrieved June 19, 2016</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Shultz, S. K., &amp; Henkens, K. (2010). Introduction to the Changing Nature of Retirement: An International Perspective. </w:t>
      </w:r>
      <w:r w:rsidRPr="00CD2132">
        <w:rPr>
          <w:rFonts w:ascii="Times New Roman" w:hAnsi="Times New Roman" w:cs="Times New Roman"/>
          <w:i/>
          <w:iCs/>
          <w:noProof/>
          <w:sz w:val="20"/>
          <w:szCs w:val="20"/>
        </w:rPr>
        <w:t>International Journal of Manpower</w:t>
      </w:r>
      <w:r w:rsidRPr="00CD2132">
        <w:rPr>
          <w:rFonts w:ascii="Times New Roman" w:hAnsi="Times New Roman" w:cs="Times New Roman"/>
          <w:noProof/>
          <w:sz w:val="20"/>
          <w:szCs w:val="20"/>
        </w:rPr>
        <w:t>, 265-270.</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Stamov, C., &amp; Biemann, T. (2012). Ageing and work motivation: a task level perspective. </w:t>
      </w:r>
      <w:r w:rsidRPr="00CD2132">
        <w:rPr>
          <w:rFonts w:ascii="Times New Roman" w:hAnsi="Times New Roman" w:cs="Times New Roman"/>
          <w:i/>
          <w:iCs/>
          <w:noProof/>
          <w:sz w:val="20"/>
          <w:szCs w:val="20"/>
        </w:rPr>
        <w:t>Journal of Managerial Psychology, 27</w:t>
      </w:r>
      <w:r w:rsidRPr="00CD2132">
        <w:rPr>
          <w:rFonts w:ascii="Times New Roman" w:hAnsi="Times New Roman" w:cs="Times New Roman"/>
          <w:noProof/>
          <w:sz w:val="20"/>
          <w:szCs w:val="20"/>
        </w:rPr>
        <w:t>(5), 459-478. Retrieved July 07, 2017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Templer,, A., Armstrong</w:t>
      </w:r>
      <w:r w:rsidRPr="00CD2132">
        <w:rPr>
          <w:rFonts w:ascii="Cambria Math" w:hAnsi="Cambria Math" w:cs="Cambria Math"/>
          <w:noProof/>
          <w:sz w:val="20"/>
          <w:szCs w:val="20"/>
        </w:rPr>
        <w:t>‐</w:t>
      </w:r>
      <w:r w:rsidRPr="00CD2132">
        <w:rPr>
          <w:rFonts w:ascii="Times New Roman" w:hAnsi="Times New Roman" w:cs="Times New Roman"/>
          <w:noProof/>
          <w:sz w:val="20"/>
          <w:szCs w:val="20"/>
        </w:rPr>
        <w:t xml:space="preserve">Stassen, M., &amp; Cattaneo,, J. (2010). Antecedents of older workers' motives for continuing to work. </w:t>
      </w:r>
      <w:r w:rsidRPr="00CD2132">
        <w:rPr>
          <w:rFonts w:ascii="Times New Roman" w:hAnsi="Times New Roman" w:cs="Times New Roman"/>
          <w:i/>
          <w:iCs/>
          <w:noProof/>
          <w:sz w:val="20"/>
          <w:szCs w:val="20"/>
        </w:rPr>
        <w:t>Career Development International, 15</w:t>
      </w:r>
      <w:r w:rsidRPr="00CD2132">
        <w:rPr>
          <w:rFonts w:ascii="Times New Roman" w:hAnsi="Times New Roman" w:cs="Times New Roman"/>
          <w:noProof/>
          <w:sz w:val="20"/>
          <w:szCs w:val="20"/>
        </w:rPr>
        <w:t>(5), 479-500. Retrieved October 26, 2017.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Topa, G., &amp; Alcover, C.-M. (2015). Psychological factors in retirement intentions and adjustment: a multi-sample study. </w:t>
      </w:r>
      <w:r w:rsidRPr="00CD2132">
        <w:rPr>
          <w:rFonts w:ascii="Times New Roman" w:hAnsi="Times New Roman" w:cs="Times New Roman"/>
          <w:i/>
          <w:iCs/>
          <w:noProof/>
          <w:sz w:val="20"/>
          <w:szCs w:val="20"/>
        </w:rPr>
        <w:t>Career Development Journal, 20</w:t>
      </w:r>
      <w:r w:rsidRPr="00CD2132">
        <w:rPr>
          <w:rFonts w:ascii="Times New Roman" w:hAnsi="Times New Roman" w:cs="Times New Roman"/>
          <w:noProof/>
          <w:sz w:val="20"/>
          <w:szCs w:val="20"/>
        </w:rPr>
        <w:t>(4), 384-408. Retrieved July 06, 2017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Tucker, L. R., &amp; MacCallum, R. C. (1997). </w:t>
      </w:r>
      <w:r w:rsidRPr="00CD2132">
        <w:rPr>
          <w:rFonts w:ascii="Times New Roman" w:hAnsi="Times New Roman" w:cs="Times New Roman"/>
          <w:i/>
          <w:iCs/>
          <w:noProof/>
          <w:sz w:val="20"/>
          <w:szCs w:val="20"/>
        </w:rPr>
        <w:t>Exploratory Factor Analysis.</w:t>
      </w:r>
      <w:r w:rsidRPr="00CD2132">
        <w:rPr>
          <w:rFonts w:ascii="Times New Roman" w:hAnsi="Times New Roman" w:cs="Times New Roman"/>
          <w:noProof/>
          <w:sz w:val="20"/>
          <w:szCs w:val="20"/>
        </w:rPr>
        <w:t xml:space="preserve"> Ohio: Ohio State University Press.</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Turek, K., &amp; Perek-Bialas, J. (2013). The role of employers opinions about skills and productivity of older workers: example of Poland. </w:t>
      </w:r>
      <w:r w:rsidRPr="00CD2132">
        <w:rPr>
          <w:rFonts w:ascii="Times New Roman" w:hAnsi="Times New Roman" w:cs="Times New Roman"/>
          <w:i/>
          <w:iCs/>
          <w:noProof/>
          <w:sz w:val="20"/>
          <w:szCs w:val="20"/>
        </w:rPr>
        <w:t>Employee Relations, 35</w:t>
      </w:r>
      <w:r w:rsidRPr="00CD2132">
        <w:rPr>
          <w:rFonts w:ascii="Times New Roman" w:hAnsi="Times New Roman" w:cs="Times New Roman"/>
          <w:noProof/>
          <w:sz w:val="20"/>
          <w:szCs w:val="20"/>
        </w:rPr>
        <w:t>(6), 648-664.</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Vodopivec, M., &amp; Arunatilake, N. (2008, April). The Impact of Population Aging on the Labor Market: The Case of Sri Lanka.</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Walker, J. (1990). Is There a Future for Retirement Education? </w:t>
      </w:r>
      <w:r w:rsidRPr="00CD2132">
        <w:rPr>
          <w:rFonts w:ascii="Times New Roman" w:hAnsi="Times New Roman" w:cs="Times New Roman"/>
          <w:i/>
          <w:iCs/>
          <w:noProof/>
          <w:sz w:val="20"/>
          <w:szCs w:val="20"/>
        </w:rPr>
        <w:t>Employee Counselling Today, 2</w:t>
      </w:r>
      <w:r w:rsidRPr="00CD2132">
        <w:rPr>
          <w:rFonts w:ascii="Times New Roman" w:hAnsi="Times New Roman" w:cs="Times New Roman"/>
          <w:noProof/>
          <w:sz w:val="20"/>
          <w:szCs w:val="20"/>
        </w:rPr>
        <w:t>(4), 21 - 27.</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lastRenderedPageBreak/>
        <w:t xml:space="preserve">Wilson, D. B., &amp; Parry, E. (2013). Career Progression in Older Managers. </w:t>
      </w:r>
      <w:r w:rsidRPr="00CD2132">
        <w:rPr>
          <w:rFonts w:ascii="Times New Roman" w:hAnsi="Times New Roman" w:cs="Times New Roman"/>
          <w:i/>
          <w:iCs/>
          <w:noProof/>
          <w:sz w:val="20"/>
          <w:szCs w:val="20"/>
        </w:rPr>
        <w:t>Employee Relations, 35</w:t>
      </w:r>
      <w:r w:rsidRPr="00CD2132">
        <w:rPr>
          <w:rFonts w:ascii="Times New Roman" w:hAnsi="Times New Roman" w:cs="Times New Roman"/>
          <w:noProof/>
          <w:sz w:val="20"/>
          <w:szCs w:val="20"/>
        </w:rPr>
        <w:t>(03), 309-321. doi:10.1108/01425451311320495</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World Health Organization. (2015). </w:t>
      </w:r>
      <w:r w:rsidRPr="00CD2132">
        <w:rPr>
          <w:rFonts w:ascii="Times New Roman" w:hAnsi="Times New Roman" w:cs="Times New Roman"/>
          <w:i/>
          <w:iCs/>
          <w:noProof/>
          <w:sz w:val="20"/>
          <w:szCs w:val="20"/>
        </w:rPr>
        <w:t>World Report on Ageing and Health.</w:t>
      </w:r>
      <w:r w:rsidRPr="00CD2132">
        <w:rPr>
          <w:rFonts w:ascii="Times New Roman" w:hAnsi="Times New Roman" w:cs="Times New Roman"/>
          <w:noProof/>
          <w:sz w:val="20"/>
          <w:szCs w:val="20"/>
        </w:rPr>
        <w:t xml:space="preserve"> United Nations. Luxembourg: WHO.</w:t>
      </w:r>
    </w:p>
    <w:p w:rsidR="00CD2132" w:rsidRPr="00CD2132" w:rsidRDefault="00CD2132" w:rsidP="00CD2132">
      <w:pPr>
        <w:pStyle w:val="Bibliography"/>
        <w:numPr>
          <w:ilvl w:val="0"/>
          <w:numId w:val="3"/>
        </w:numPr>
        <w:spacing w:line="240" w:lineRule="auto"/>
        <w:jc w:val="both"/>
        <w:rPr>
          <w:rFonts w:ascii="Times New Roman" w:hAnsi="Times New Roman" w:cs="Times New Roman"/>
          <w:noProof/>
          <w:sz w:val="20"/>
          <w:szCs w:val="20"/>
        </w:rPr>
      </w:pPr>
      <w:r w:rsidRPr="00CD2132">
        <w:rPr>
          <w:rFonts w:ascii="Times New Roman" w:hAnsi="Times New Roman" w:cs="Times New Roman"/>
          <w:noProof/>
          <w:sz w:val="20"/>
          <w:szCs w:val="20"/>
        </w:rPr>
        <w:t xml:space="preserve">Zacher,, H., &amp; Rudolph, C. W. (2017). </w:t>
      </w:r>
      <w:r w:rsidRPr="00CD2132">
        <w:rPr>
          <w:rFonts w:ascii="Times New Roman" w:hAnsi="Times New Roman" w:cs="Times New Roman"/>
          <w:i/>
          <w:iCs/>
          <w:noProof/>
          <w:sz w:val="20"/>
          <w:szCs w:val="20"/>
        </w:rPr>
        <w:t>Successful Aging at Work and Beyond: A Review and Critical Perspective.</w:t>
      </w:r>
      <w:r w:rsidRPr="00CD2132">
        <w:rPr>
          <w:rFonts w:ascii="Times New Roman" w:hAnsi="Times New Roman" w:cs="Times New Roman"/>
          <w:noProof/>
          <w:sz w:val="20"/>
          <w:szCs w:val="20"/>
        </w:rPr>
        <w:t xml:space="preserve"> Australia: Emerald Group of Publishing.</w:t>
      </w:r>
    </w:p>
    <w:p w:rsidR="00CD2132" w:rsidRPr="00CD2132" w:rsidRDefault="00CD2132" w:rsidP="00CD2132">
      <w:pPr>
        <w:spacing w:line="240" w:lineRule="auto"/>
        <w:jc w:val="both"/>
        <w:rPr>
          <w:rFonts w:ascii="Times New Roman" w:hAnsi="Times New Roman" w:cs="Times New Roman"/>
          <w:sz w:val="20"/>
          <w:szCs w:val="20"/>
        </w:rPr>
      </w:pPr>
    </w:p>
    <w:p w:rsidR="005415BC" w:rsidRPr="000E0E19" w:rsidRDefault="005415BC" w:rsidP="005415BC">
      <w:pPr>
        <w:pStyle w:val="AbstractStyle"/>
        <w:rPr>
          <w:i w:val="0"/>
          <w:sz w:val="20"/>
        </w:rPr>
      </w:pPr>
    </w:p>
    <w:p w:rsidR="005415BC" w:rsidRDefault="005415BC" w:rsidP="005415BC">
      <w:pPr>
        <w:pStyle w:val="AbstractStyle"/>
        <w:spacing w:after="200"/>
        <w:rPr>
          <w:i w:val="0"/>
          <w:sz w:val="20"/>
        </w:rPr>
      </w:pPr>
    </w:p>
    <w:p w:rsidR="005415BC" w:rsidRDefault="005415BC" w:rsidP="005415BC">
      <w:pPr>
        <w:pStyle w:val="AbstractStyle"/>
        <w:spacing w:after="200"/>
        <w:rPr>
          <w:i w:val="0"/>
          <w:sz w:val="20"/>
        </w:rPr>
      </w:pPr>
    </w:p>
    <w:p w:rsidR="00944F1D" w:rsidRDefault="00944F1D" w:rsidP="00BA5552">
      <w:pPr>
        <w:pStyle w:val="AbstractStyle"/>
        <w:spacing w:after="200"/>
        <w:rPr>
          <w:i w:val="0"/>
          <w:sz w:val="20"/>
        </w:rPr>
      </w:pPr>
    </w:p>
    <w:p w:rsidR="00EC405A" w:rsidRDefault="00EC405A" w:rsidP="002D39EC">
      <w:pPr>
        <w:pStyle w:val="AbstractStyle"/>
        <w:rPr>
          <w:i w:val="0"/>
          <w:sz w:val="20"/>
        </w:rPr>
      </w:pPr>
    </w:p>
    <w:p w:rsidR="00EC405A" w:rsidRDefault="00EC405A" w:rsidP="002D39EC">
      <w:pPr>
        <w:pStyle w:val="AbstractStyle"/>
        <w:rPr>
          <w:i w:val="0"/>
          <w:sz w:val="20"/>
        </w:rPr>
      </w:pPr>
    </w:p>
    <w:p w:rsidR="00EC405A" w:rsidRDefault="00EC405A" w:rsidP="002D39EC">
      <w:pPr>
        <w:pStyle w:val="AbstractStyle"/>
        <w:rPr>
          <w:i w:val="0"/>
          <w:sz w:val="20"/>
        </w:rPr>
      </w:pPr>
    </w:p>
    <w:p w:rsidR="00EC405A" w:rsidRDefault="00EC405A" w:rsidP="002D39EC">
      <w:pPr>
        <w:pStyle w:val="AbstractStyle"/>
        <w:rPr>
          <w:i w:val="0"/>
          <w:sz w:val="20"/>
        </w:rPr>
      </w:pPr>
    </w:p>
    <w:p w:rsidR="00EC405A" w:rsidRDefault="00EC405A" w:rsidP="002D39EC">
      <w:pPr>
        <w:pStyle w:val="AbstractStyle"/>
        <w:rPr>
          <w:i w:val="0"/>
          <w:sz w:val="20"/>
        </w:rPr>
      </w:pPr>
    </w:p>
    <w:p w:rsidR="00EC405A" w:rsidRDefault="00EC405A" w:rsidP="002D39EC">
      <w:pPr>
        <w:pStyle w:val="AbstractStyle"/>
        <w:rPr>
          <w:i w:val="0"/>
          <w:sz w:val="20"/>
        </w:rPr>
      </w:pPr>
    </w:p>
    <w:p w:rsidR="00EC405A" w:rsidRDefault="00EC405A" w:rsidP="002D39EC">
      <w:pPr>
        <w:pStyle w:val="AbstractStyle"/>
        <w:rPr>
          <w:i w:val="0"/>
          <w:sz w:val="20"/>
        </w:rPr>
      </w:pPr>
    </w:p>
    <w:p w:rsidR="00EC405A" w:rsidRDefault="00EC405A" w:rsidP="002D39EC">
      <w:pPr>
        <w:pStyle w:val="AbstractStyle"/>
        <w:rPr>
          <w:i w:val="0"/>
          <w:sz w:val="20"/>
        </w:rPr>
      </w:pPr>
    </w:p>
    <w:p w:rsidR="00EC405A" w:rsidRDefault="00EC405A" w:rsidP="002D39EC">
      <w:pPr>
        <w:pStyle w:val="AbstractStyle"/>
        <w:rPr>
          <w:i w:val="0"/>
          <w:sz w:val="20"/>
        </w:rPr>
      </w:pPr>
    </w:p>
    <w:p w:rsidR="00EC405A" w:rsidRDefault="00EC405A" w:rsidP="00EC405A">
      <w:pPr>
        <w:pStyle w:val="AbstractStyle"/>
        <w:jc w:val="center"/>
        <w:rPr>
          <w:i w:val="0"/>
          <w:sz w:val="20"/>
        </w:rPr>
      </w:pPr>
    </w:p>
    <w:p w:rsidR="00EC405A" w:rsidRDefault="00EC405A" w:rsidP="00E84401">
      <w:pPr>
        <w:pStyle w:val="AbstractStyle"/>
        <w:rPr>
          <w:i w:val="0"/>
          <w:sz w:val="20"/>
        </w:rPr>
        <w:sectPr w:rsidR="00EC405A" w:rsidSect="000E0E19">
          <w:type w:val="continuous"/>
          <w:pgSz w:w="10319" w:h="14571" w:code="13"/>
          <w:pgMar w:top="1440" w:right="1440" w:bottom="1440" w:left="1440" w:header="720" w:footer="720" w:gutter="0"/>
          <w:cols w:num="2" w:space="720"/>
          <w:docGrid w:linePitch="360"/>
        </w:sectPr>
      </w:pPr>
    </w:p>
    <w:p w:rsidR="005415BC" w:rsidRDefault="005415BC" w:rsidP="003D5C08">
      <w:pPr>
        <w:pStyle w:val="AbstractStyle"/>
        <w:spacing w:after="240"/>
        <w:rPr>
          <w:i w:val="0"/>
          <w:sz w:val="20"/>
        </w:rPr>
        <w:sectPr w:rsidR="005415BC" w:rsidSect="00EC405A">
          <w:type w:val="continuous"/>
          <w:pgSz w:w="10319" w:h="14571" w:code="13"/>
          <w:pgMar w:top="1440" w:right="1440" w:bottom="1440" w:left="1440" w:header="720" w:footer="720" w:gutter="0"/>
          <w:cols w:space="720"/>
          <w:docGrid w:linePitch="360"/>
        </w:sectPr>
      </w:pPr>
    </w:p>
    <w:p w:rsidR="005415BC" w:rsidRDefault="005415BC" w:rsidP="003D5C08">
      <w:pPr>
        <w:pStyle w:val="AbstractStyle"/>
        <w:jc w:val="left"/>
        <w:rPr>
          <w:i w:val="0"/>
          <w:sz w:val="20"/>
        </w:rPr>
        <w:sectPr w:rsidR="005415BC" w:rsidSect="000E0E19">
          <w:type w:val="continuous"/>
          <w:pgSz w:w="10319" w:h="14571" w:code="13"/>
          <w:pgMar w:top="1440" w:right="1440" w:bottom="1440" w:left="1440" w:header="720" w:footer="720" w:gutter="0"/>
          <w:cols w:num="2" w:space="720"/>
          <w:docGrid w:linePitch="360"/>
        </w:sectPr>
      </w:pPr>
    </w:p>
    <w:p w:rsidR="00755E80" w:rsidRDefault="00755E80" w:rsidP="00046BE3">
      <w:pPr>
        <w:pStyle w:val="AbstractStyle"/>
        <w:rPr>
          <w:sz w:val="20"/>
        </w:rPr>
      </w:pPr>
    </w:p>
    <w:p w:rsidR="00755E80" w:rsidRDefault="00755E80" w:rsidP="00755E80">
      <w:pPr>
        <w:pStyle w:val="AbstractStyle"/>
        <w:jc w:val="center"/>
        <w:rPr>
          <w:sz w:val="20"/>
        </w:rPr>
      </w:pPr>
    </w:p>
    <w:p w:rsidR="00755E80" w:rsidRPr="0038596B" w:rsidRDefault="00755E80" w:rsidP="00755E80">
      <w:pPr>
        <w:pStyle w:val="AbstractStyle"/>
        <w:jc w:val="center"/>
        <w:rPr>
          <w:sz w:val="20"/>
        </w:rPr>
      </w:pPr>
    </w:p>
    <w:p w:rsidR="00755E80" w:rsidRDefault="00755E80" w:rsidP="000E22EB">
      <w:pPr>
        <w:jc w:val="center"/>
        <w:rPr>
          <w:rFonts w:ascii="Times New Roman" w:hAnsi="Times New Roman" w:cs="Times New Roman"/>
        </w:rPr>
      </w:pPr>
    </w:p>
    <w:p w:rsidR="00755E80" w:rsidRDefault="00755E80" w:rsidP="000E22EB">
      <w:pPr>
        <w:jc w:val="center"/>
        <w:rPr>
          <w:rFonts w:ascii="Times New Roman" w:hAnsi="Times New Roman" w:cs="Times New Roman"/>
        </w:rPr>
      </w:pPr>
    </w:p>
    <w:p w:rsidR="00755E80" w:rsidRPr="000E22EB" w:rsidRDefault="00755E80" w:rsidP="000E22EB">
      <w:pPr>
        <w:jc w:val="center"/>
        <w:rPr>
          <w:rFonts w:ascii="Times New Roman" w:hAnsi="Times New Roman" w:cs="Times New Roman"/>
        </w:rPr>
      </w:pPr>
    </w:p>
    <w:p w:rsidR="00C8043D" w:rsidRPr="000E22EB" w:rsidRDefault="00C8043D" w:rsidP="006D2CBD">
      <w:pPr>
        <w:rPr>
          <w:rFonts w:ascii="Times New Roman" w:hAnsi="Times New Roman" w:cs="Times New Roman"/>
          <w:sz w:val="32"/>
        </w:rPr>
      </w:pPr>
    </w:p>
    <w:sectPr w:rsidR="00C8043D" w:rsidRPr="000E22EB" w:rsidSect="000E0E19">
      <w:type w:val="continuous"/>
      <w:pgSz w:w="10319" w:h="14571" w:code="13"/>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1E55" w:rsidRDefault="00B41E55" w:rsidP="000E22EB">
      <w:pPr>
        <w:spacing w:after="0" w:line="240" w:lineRule="auto"/>
      </w:pPr>
      <w:r>
        <w:separator/>
      </w:r>
    </w:p>
  </w:endnote>
  <w:endnote w:type="continuationSeparator" w:id="0">
    <w:p w:rsidR="00B41E55" w:rsidRDefault="00B41E55" w:rsidP="000E22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Iskoola Pota">
    <w:panose1 w:val="020B0502040204020203"/>
    <w:charset w:val="00"/>
    <w:family w:val="swiss"/>
    <w:pitch w:val="variable"/>
    <w:sig w:usb0="00000003" w:usb1="00000000" w:usb2="00000200" w:usb3="00000000" w:csb0="00000001" w:csb1="00000000"/>
  </w:font>
  <w:font w:name="Vrinda">
    <w:panose1 w:val="020B0502040204020203"/>
    <w:charset w:val="00"/>
    <w:family w:val="swiss"/>
    <w:pitch w:val="variable"/>
    <w:sig w:usb0="0001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rPr>
      <w:id w:val="549575653"/>
      <w:docPartObj>
        <w:docPartGallery w:val="Page Numbers (Bottom of Page)"/>
        <w:docPartUnique/>
      </w:docPartObj>
    </w:sdtPr>
    <w:sdtEndPr>
      <w:rPr>
        <w:noProof/>
      </w:rPr>
    </w:sdtEndPr>
    <w:sdtContent>
      <w:p w:rsidR="002C7201" w:rsidRPr="000E22EB" w:rsidRDefault="002C7201" w:rsidP="000E22EB">
        <w:pPr>
          <w:pStyle w:val="Footer"/>
          <w:tabs>
            <w:tab w:val="left" w:pos="2667"/>
            <w:tab w:val="right" w:pos="9027"/>
          </w:tabs>
          <w:jc w:val="right"/>
          <w:rPr>
            <w:sz w:val="20"/>
          </w:rPr>
        </w:pPr>
        <w:r w:rsidRPr="000E22EB">
          <w:rPr>
            <w:noProof/>
            <w:sz w:val="20"/>
          </w:rPr>
          <w:drawing>
            <wp:anchor distT="0" distB="0" distL="114300" distR="114300" simplePos="0" relativeHeight="251659264" behindDoc="1" locked="0" layoutInCell="1" allowOverlap="1" wp14:anchorId="6AC4997C" wp14:editId="1341289B">
              <wp:simplePos x="0" y="0"/>
              <wp:positionH relativeFrom="column">
                <wp:posOffset>-9525</wp:posOffset>
              </wp:positionH>
              <wp:positionV relativeFrom="paragraph">
                <wp:posOffset>-45720</wp:posOffset>
              </wp:positionV>
              <wp:extent cx="838200" cy="295275"/>
              <wp:effectExtent l="0" t="0" r="0"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pic:spPr>
                  </pic:pic>
                </a:graphicData>
              </a:graphic>
              <wp14:sizeRelH relativeFrom="page">
                <wp14:pctWidth>0</wp14:pctWidth>
              </wp14:sizeRelH>
              <wp14:sizeRelV relativeFrom="page">
                <wp14:pctHeight>0</wp14:pctHeight>
              </wp14:sizeRelV>
            </wp:anchor>
          </w:drawing>
        </w:r>
        <w:r w:rsidRPr="000E22EB">
          <w:rPr>
            <w:rFonts w:ascii="Times New Roman" w:hAnsi="Times New Roman" w:cs="Times New Roman"/>
            <w:sz w:val="20"/>
          </w:rPr>
          <w:t>Kelan</w:t>
        </w:r>
        <w:r>
          <w:rPr>
            <w:rFonts w:ascii="Times New Roman" w:hAnsi="Times New Roman" w:cs="Times New Roman"/>
            <w:sz w:val="20"/>
          </w:rPr>
          <w:t>iya Journal of Management | 2018 | Vol. 07</w:t>
        </w:r>
        <w:r w:rsidRPr="000E22EB">
          <w:rPr>
            <w:rFonts w:ascii="Times New Roman" w:hAnsi="Times New Roman" w:cs="Times New Roman"/>
            <w:sz w:val="20"/>
          </w:rPr>
          <w:t xml:space="preserve"> | Issue 0</w:t>
        </w:r>
        <w:r>
          <w:rPr>
            <w:rFonts w:ascii="Times New Roman" w:hAnsi="Times New Roman" w:cs="Times New Roman"/>
            <w:sz w:val="20"/>
          </w:rPr>
          <w:t>2</w:t>
        </w:r>
        <w:sdt>
          <w:sdtPr>
            <w:rPr>
              <w:rFonts w:ascii="Times New Roman" w:hAnsi="Times New Roman" w:cs="Times New Roman"/>
              <w:noProof/>
              <w:sz w:val="20"/>
            </w:rPr>
            <w:id w:val="973178979"/>
            <w:docPartObj>
              <w:docPartGallery w:val="Page Numbers (Bottom of Page)"/>
              <w:docPartUnique/>
            </w:docPartObj>
          </w:sdtPr>
          <w:sdtEndPr/>
          <w:sdtContent>
            <w:r w:rsidRPr="000E22EB">
              <w:rPr>
                <w:rFonts w:ascii="Times New Roman" w:hAnsi="Times New Roman" w:cs="Times New Roman"/>
                <w:sz w:val="20"/>
              </w:rPr>
              <w:t xml:space="preserve"> | Page </w:t>
            </w:r>
            <w:r w:rsidRPr="000E22EB">
              <w:rPr>
                <w:rFonts w:ascii="Times New Roman" w:hAnsi="Times New Roman" w:cs="Times New Roman"/>
                <w:sz w:val="20"/>
              </w:rPr>
              <w:fldChar w:fldCharType="begin"/>
            </w:r>
            <w:r w:rsidRPr="000E22EB">
              <w:rPr>
                <w:rFonts w:ascii="Times New Roman" w:hAnsi="Times New Roman" w:cs="Times New Roman"/>
                <w:sz w:val="20"/>
              </w:rPr>
              <w:instrText xml:space="preserve"> PAGE   \* MERGEFORMAT </w:instrText>
            </w:r>
            <w:r w:rsidRPr="000E22EB">
              <w:rPr>
                <w:rFonts w:ascii="Times New Roman" w:hAnsi="Times New Roman" w:cs="Times New Roman"/>
                <w:sz w:val="20"/>
              </w:rPr>
              <w:fldChar w:fldCharType="separate"/>
            </w:r>
            <w:r w:rsidR="005C7EFB">
              <w:rPr>
                <w:rFonts w:ascii="Times New Roman" w:hAnsi="Times New Roman" w:cs="Times New Roman"/>
                <w:noProof/>
                <w:sz w:val="20"/>
              </w:rPr>
              <w:t>53</w:t>
            </w:r>
            <w:r w:rsidRPr="000E22EB">
              <w:rPr>
                <w:rFonts w:ascii="Times New Roman" w:hAnsi="Times New Roman" w:cs="Times New Roman"/>
                <w:noProof/>
                <w:sz w:val="20"/>
              </w:rPr>
              <w:fldChar w:fldCharType="end"/>
            </w:r>
          </w:sdtContent>
        </w:sdt>
      </w:p>
    </w:sdtContent>
  </w:sdt>
  <w:p w:rsidR="002C7201" w:rsidRDefault="005C7EFB" w:rsidP="005C7EFB">
    <w:pPr>
      <w:pStyle w:val="Footer"/>
      <w:tabs>
        <w:tab w:val="clear" w:pos="4680"/>
        <w:tab w:val="clear" w:pos="9360"/>
        <w:tab w:val="left" w:pos="2667"/>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1E55" w:rsidRDefault="00B41E55" w:rsidP="000E22EB">
      <w:pPr>
        <w:spacing w:after="0" w:line="240" w:lineRule="auto"/>
      </w:pPr>
      <w:r>
        <w:separator/>
      </w:r>
    </w:p>
  </w:footnote>
  <w:footnote w:type="continuationSeparator" w:id="0">
    <w:p w:rsidR="00B41E55" w:rsidRDefault="00B41E55" w:rsidP="000E22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7201" w:rsidRPr="000E22EB" w:rsidRDefault="002C7201">
    <w:pPr>
      <w:pStyle w:val="Header"/>
      <w:rPr>
        <w:rFonts w:ascii="Times New Roman" w:hAnsi="Times New Roman" w:cs="Times New Roman"/>
        <w:sz w:val="20"/>
      </w:rPr>
    </w:pPr>
    <w:r>
      <w:rPr>
        <w:rFonts w:ascii="Times New Roman" w:hAnsi="Times New Roman" w:cs="Times New Roman"/>
        <w:sz w:val="20"/>
        <w:lang w:bidi="si-LK"/>
      </w:rPr>
      <w:t>Perera E.A.Y.D., Weerakkody W.A.S., KJM, 2018, 7 (2)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832FFD"/>
    <w:multiLevelType w:val="hybridMultilevel"/>
    <w:tmpl w:val="C02CF2AC"/>
    <w:lvl w:ilvl="0" w:tplc="09F09F18">
      <w:start w:val="1"/>
      <w:numFmt w:val="decimal"/>
      <w:lvlText w:val="2.%1. "/>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A05D17"/>
    <w:multiLevelType w:val="hybridMultilevel"/>
    <w:tmpl w:val="FAFE97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484E2569"/>
    <w:multiLevelType w:val="hybridMultilevel"/>
    <w:tmpl w:val="D37A69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DAyNDIzNTYxsbAwNTRS0lEKTi0uzszPAykwrgUAamzWiywAAAA="/>
  </w:docVars>
  <w:rsids>
    <w:rsidRoot w:val="00E52E85"/>
    <w:rsid w:val="00010B27"/>
    <w:rsid w:val="00046BE3"/>
    <w:rsid w:val="000C276C"/>
    <w:rsid w:val="000D07AF"/>
    <w:rsid w:val="000E0E19"/>
    <w:rsid w:val="000E22EB"/>
    <w:rsid w:val="000F0C77"/>
    <w:rsid w:val="00156A6F"/>
    <w:rsid w:val="001C0DE8"/>
    <w:rsid w:val="001C2258"/>
    <w:rsid w:val="001D52FA"/>
    <w:rsid w:val="002B0D77"/>
    <w:rsid w:val="002B183F"/>
    <w:rsid w:val="002B79BD"/>
    <w:rsid w:val="002C7201"/>
    <w:rsid w:val="002D39EC"/>
    <w:rsid w:val="00316252"/>
    <w:rsid w:val="0032174F"/>
    <w:rsid w:val="003340D1"/>
    <w:rsid w:val="00346754"/>
    <w:rsid w:val="003509CD"/>
    <w:rsid w:val="003836B3"/>
    <w:rsid w:val="003C198E"/>
    <w:rsid w:val="003C3A43"/>
    <w:rsid w:val="003D5C08"/>
    <w:rsid w:val="003E3218"/>
    <w:rsid w:val="003F57A2"/>
    <w:rsid w:val="00412090"/>
    <w:rsid w:val="00431E61"/>
    <w:rsid w:val="0043296C"/>
    <w:rsid w:val="0047527F"/>
    <w:rsid w:val="004F093C"/>
    <w:rsid w:val="004F4AF9"/>
    <w:rsid w:val="005303B6"/>
    <w:rsid w:val="005415BC"/>
    <w:rsid w:val="00550AF6"/>
    <w:rsid w:val="00571DD2"/>
    <w:rsid w:val="005C7EFB"/>
    <w:rsid w:val="00620E37"/>
    <w:rsid w:val="00646867"/>
    <w:rsid w:val="006701F8"/>
    <w:rsid w:val="006748D0"/>
    <w:rsid w:val="00677940"/>
    <w:rsid w:val="006D2210"/>
    <w:rsid w:val="006D2CBD"/>
    <w:rsid w:val="006D7F99"/>
    <w:rsid w:val="006F6F07"/>
    <w:rsid w:val="00755618"/>
    <w:rsid w:val="00755E80"/>
    <w:rsid w:val="007803AA"/>
    <w:rsid w:val="007D29BB"/>
    <w:rsid w:val="00816303"/>
    <w:rsid w:val="008509DD"/>
    <w:rsid w:val="008570FB"/>
    <w:rsid w:val="008A7238"/>
    <w:rsid w:val="008D774C"/>
    <w:rsid w:val="008E33CD"/>
    <w:rsid w:val="008F48FA"/>
    <w:rsid w:val="00924E7E"/>
    <w:rsid w:val="00944F1D"/>
    <w:rsid w:val="009A1038"/>
    <w:rsid w:val="009C4CA4"/>
    <w:rsid w:val="009E67EC"/>
    <w:rsid w:val="009F07A9"/>
    <w:rsid w:val="00A06555"/>
    <w:rsid w:val="00A066BD"/>
    <w:rsid w:val="00A445AE"/>
    <w:rsid w:val="00A54607"/>
    <w:rsid w:val="00A546D7"/>
    <w:rsid w:val="00A67000"/>
    <w:rsid w:val="00B03B44"/>
    <w:rsid w:val="00B07ED1"/>
    <w:rsid w:val="00B10D2C"/>
    <w:rsid w:val="00B41E55"/>
    <w:rsid w:val="00B85A48"/>
    <w:rsid w:val="00BA5552"/>
    <w:rsid w:val="00BB43A0"/>
    <w:rsid w:val="00C42BCB"/>
    <w:rsid w:val="00C8043D"/>
    <w:rsid w:val="00C945BC"/>
    <w:rsid w:val="00CD2132"/>
    <w:rsid w:val="00D24044"/>
    <w:rsid w:val="00D27298"/>
    <w:rsid w:val="00D32430"/>
    <w:rsid w:val="00D37CBA"/>
    <w:rsid w:val="00E04AAD"/>
    <w:rsid w:val="00E3120F"/>
    <w:rsid w:val="00E44E1B"/>
    <w:rsid w:val="00E52E85"/>
    <w:rsid w:val="00E552A5"/>
    <w:rsid w:val="00E84401"/>
    <w:rsid w:val="00E91B42"/>
    <w:rsid w:val="00EC405A"/>
    <w:rsid w:val="00ED1198"/>
    <w:rsid w:val="00EE6D3D"/>
    <w:rsid w:val="00EF480A"/>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F9438C2-EDCA-416D-8947-52A177D3B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22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22EB"/>
  </w:style>
  <w:style w:type="paragraph" w:styleId="Footer">
    <w:name w:val="footer"/>
    <w:basedOn w:val="Normal"/>
    <w:link w:val="FooterChar"/>
    <w:uiPriority w:val="99"/>
    <w:unhideWhenUsed/>
    <w:rsid w:val="000E22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22EB"/>
  </w:style>
  <w:style w:type="paragraph" w:customStyle="1" w:styleId="AbstractStyle">
    <w:name w:val="* AbstractStyle"/>
    <w:link w:val="AbstractStyleChar"/>
    <w:qFormat/>
    <w:rsid w:val="00755E80"/>
    <w:pPr>
      <w:spacing w:after="0" w:line="240" w:lineRule="auto"/>
      <w:jc w:val="both"/>
    </w:pPr>
    <w:rPr>
      <w:rFonts w:ascii="Times New Roman" w:eastAsia="Times New Roman" w:hAnsi="Times New Roman" w:cs="Vrinda"/>
      <w:i/>
      <w:sz w:val="16"/>
      <w:szCs w:val="20"/>
    </w:rPr>
  </w:style>
  <w:style w:type="character" w:customStyle="1" w:styleId="AbstractStyleChar">
    <w:name w:val="* AbstractStyle Char"/>
    <w:link w:val="AbstractStyle"/>
    <w:rsid w:val="00755E80"/>
    <w:rPr>
      <w:rFonts w:ascii="Times New Roman" w:eastAsia="Times New Roman" w:hAnsi="Times New Roman" w:cs="Vrinda"/>
      <w:i/>
      <w:sz w:val="16"/>
      <w:szCs w:val="20"/>
    </w:rPr>
  </w:style>
  <w:style w:type="paragraph" w:customStyle="1" w:styleId="KeywordsText">
    <w:name w:val="* KeywordsText"/>
    <w:link w:val="KeywordsTextChar"/>
    <w:qFormat/>
    <w:rsid w:val="00755E80"/>
    <w:pPr>
      <w:spacing w:after="0" w:line="240" w:lineRule="auto"/>
      <w:jc w:val="center"/>
    </w:pPr>
    <w:rPr>
      <w:rFonts w:ascii="Times New Roman" w:eastAsia="Times New Roman" w:hAnsi="Times New Roman" w:cs="Vrinda"/>
      <w:i/>
      <w:sz w:val="16"/>
      <w:szCs w:val="20"/>
    </w:rPr>
  </w:style>
  <w:style w:type="character" w:customStyle="1" w:styleId="KeywordsTextChar">
    <w:name w:val="* KeywordsText Char"/>
    <w:link w:val="KeywordsText"/>
    <w:rsid w:val="00755E80"/>
    <w:rPr>
      <w:rFonts w:ascii="Times New Roman" w:eastAsia="Times New Roman" w:hAnsi="Times New Roman" w:cs="Vrinda"/>
      <w:i/>
      <w:sz w:val="16"/>
      <w:szCs w:val="20"/>
    </w:rPr>
  </w:style>
  <w:style w:type="character" w:styleId="PlaceholderText">
    <w:name w:val="Placeholder Text"/>
    <w:basedOn w:val="DefaultParagraphFont"/>
    <w:uiPriority w:val="99"/>
    <w:semiHidden/>
    <w:rsid w:val="00E84401"/>
    <w:rPr>
      <w:color w:val="808080"/>
    </w:rPr>
  </w:style>
  <w:style w:type="paragraph" w:styleId="FootnoteText">
    <w:name w:val="footnote text"/>
    <w:basedOn w:val="Normal"/>
    <w:link w:val="FootnoteTextChar"/>
    <w:uiPriority w:val="99"/>
    <w:semiHidden/>
    <w:unhideWhenUsed/>
    <w:rsid w:val="005415B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415BC"/>
    <w:rPr>
      <w:sz w:val="20"/>
      <w:szCs w:val="20"/>
    </w:rPr>
  </w:style>
  <w:style w:type="character" w:styleId="FootnoteReference">
    <w:name w:val="footnote reference"/>
    <w:basedOn w:val="DefaultParagraphFont"/>
    <w:uiPriority w:val="99"/>
    <w:semiHidden/>
    <w:unhideWhenUsed/>
    <w:rsid w:val="005415BC"/>
    <w:rPr>
      <w:vertAlign w:val="superscript"/>
    </w:rPr>
  </w:style>
  <w:style w:type="character" w:styleId="Hyperlink">
    <w:name w:val="Hyperlink"/>
    <w:basedOn w:val="DefaultParagraphFont"/>
    <w:uiPriority w:val="99"/>
    <w:unhideWhenUsed/>
    <w:rsid w:val="00E44E1B"/>
    <w:rPr>
      <w:color w:val="0563C1" w:themeColor="hyperlink"/>
      <w:u w:val="single"/>
    </w:rPr>
  </w:style>
  <w:style w:type="paragraph" w:styleId="ListParagraph">
    <w:name w:val="List Paragraph"/>
    <w:basedOn w:val="Normal"/>
    <w:uiPriority w:val="34"/>
    <w:qFormat/>
    <w:rsid w:val="009F07A9"/>
    <w:pPr>
      <w:ind w:left="720"/>
      <w:contextualSpacing/>
    </w:pPr>
    <w:rPr>
      <w:lang w:bidi="si-LK"/>
    </w:rPr>
  </w:style>
  <w:style w:type="paragraph" w:styleId="Bibliography">
    <w:name w:val="Bibliography"/>
    <w:basedOn w:val="Normal"/>
    <w:next w:val="Normal"/>
    <w:uiPriority w:val="37"/>
    <w:unhideWhenUsed/>
    <w:rsid w:val="00CD2132"/>
    <w:rPr>
      <w:lang w:bidi="si-LK"/>
    </w:rPr>
  </w:style>
  <w:style w:type="table" w:styleId="TableGrid">
    <w:name w:val="Table Grid"/>
    <w:basedOn w:val="TableNormal"/>
    <w:uiPriority w:val="59"/>
    <w:rsid w:val="00D240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D24044"/>
    <w:pPr>
      <w:spacing w:after="200" w:line="240" w:lineRule="auto"/>
    </w:pPr>
    <w:rPr>
      <w:i/>
      <w:iCs/>
      <w:color w:val="44546A" w:themeColor="text2"/>
      <w:sz w:val="18"/>
      <w:szCs w:val="18"/>
      <w:lang w:bidi="si-L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8941-030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orcid.org/0000-0003-3710-8528"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Shu10</b:Tag>
    <b:SourceType>JournalArticle</b:SourceType>
    <b:Guid>{85777B48-B4A4-4C17-BE89-F3B4C84F45A3}</b:Guid>
    <b:Title>Introduction to the Changing Nature of Retirement: An International Perspective</b:Title>
    <b:Year>2010</b:Year>
    <b:Publisher>Emerald Group Publishing Limited</b:Publisher>
    <b:JournalName>International Journal of Manpower</b:JournalName>
    <b:Pages>265-270</b:Pages>
    <b:Author>
      <b:Author>
        <b:NameList>
          <b:Person>
            <b:Last>Shultz</b:Last>
            <b:Middle>Kenneth</b:Middle>
            <b:First>S</b:First>
          </b:Person>
          <b:Person>
            <b:Last>Henkens</b:Last>
            <b:First>Kene</b:First>
          </b:Person>
        </b:NameList>
      </b:Author>
    </b:Author>
    <b:RefOrder>1</b:RefOrder>
  </b:Source>
  <b:Source>
    <b:Tag>Ema16</b:Tag>
    <b:SourceType>JournalArticle</b:SourceType>
    <b:Guid>{62130F0F-19D3-452F-AEE4-DCA218B30ECC}</b:Guid>
    <b:Title>Aging and motivation to stay employable</b:Title>
    <b:JournalName>Journal of Managerial Psychology</b:JournalName>
    <b:Year>2016</b:Year>
    <b:Pages>1-25</b:Pages>
    <b:Author>
      <b:Author>
        <b:NameList>
          <b:Person>
            <b:Last>Emanuel</b:Last>
            <b:First>Dominik</b:First>
          </b:Person>
          <b:Person>
            <b:Last>Simon</b:Last>
            <b:First>Froehlich</b:First>
          </b:Person>
          <b:Person>
            <b:Last>Segars</b:Last>
            <b:Middle>Mien</b:Middle>
            <b:First>Beausaert</b:First>
          </b:Person>
        </b:NameList>
      </b:Author>
    </b:Author>
    <b:Volume>31</b:Volume>
    <b:Issue>3</b:Issue>
    <b:Medium>English</b:Medium>
    <b:YearAccessed>2016</b:YearAccessed>
    <b:MonthAccessed>March</b:MonthAccessed>
    <b:DayAccessed>01</b:DayAccessed>
    <b:RefOrder>2</b:RefOrder>
  </b:Source>
  <b:Source>
    <b:Tag>Arr97</b:Tag>
    <b:SourceType>JournalArticle</b:SourceType>
    <b:Guid>{02BEA736-DA3C-4654-81E1-36E730854BB6}</b:Guid>
    <b:Title>A flexible future for older workers?</b:Title>
    <b:JournalName>Personnel Review</b:JournalName>
    <b:Year>1997</b:Year>
    <b:Pages>258-273</b:Pages>
    <b:Author>
      <b:Author>
        <b:NameList>
          <b:Person>
            <b:Last>Arrowsmith</b:Last>
            <b:First>James</b:First>
          </b:Person>
          <b:Person>
            <b:Last>McGoldrick</b:Last>
            <b:Middle>E.</b:Middle>
            <b:First>Ann</b:First>
          </b:Person>
        </b:NameList>
      </b:Author>
    </b:Author>
    <b:Publisher>Emerald Group of Publishing</b:Publisher>
    <b:Volume>26</b:Volume>
    <b:Issue>4</b:Issue>
    <b:Medium>English</b:Medium>
    <b:DOI>https://doi.org/10.1108/00483489710172060</b:DOI>
    <b:RefOrder>3</b:RefOrder>
  </b:Source>
  <b:Source>
    <b:Tag>Fel</b:Tag>
    <b:SourceType>JournalArticle</b:SourceType>
    <b:Guid>{34F82AA2-920B-4C72-99EF-3599322C91EB}</b:Guid>
    <b:Title>Factors Influencing Intentions to Retire: An Empirical Test of Theoretical Propositions</b:Title>
    <b:Author>
      <b:Author>
        <b:NameList>
          <b:Person>
            <b:Last>Feldman</b:Last>
            <b:Middle>C.</b:Middle>
            <b:First>Daniel</b:First>
          </b:Person>
          <b:Person>
            <b:Last>Turnley</b:Last>
            <b:Middle>H.</b:Middle>
            <b:First>William</b:First>
          </b:Person>
        </b:NameList>
      </b:Author>
    </b:Author>
    <b:Year>1995</b:Year>
    <b:Volume>18</b:Volume>
    <b:JournalName>Management Research News</b:JournalName>
    <b:Pages>28-45</b:Pages>
    <b:RefOrder>4</b:RefOrder>
  </b:Source>
  <b:Source>
    <b:Tag>Dum11</b:Tag>
    <b:SourceType>JournalArticle</b:SourceType>
    <b:Guid>{77748C2C-0CAE-46A5-A201-A00D2B3487BF}</b:Guid>
    <b:Title>Dealing with an ageing workforce: current and future implications</b:Title>
    <b:Year>2011</b:Year>
    <b:JournalName>Journal of Human Resource Costing &amp; Accounting</b:JournalName>
    <b:Pages>174-195</b:Pages>
    <b:Author>
      <b:Author>
        <b:NameList>
          <b:Person>
            <b:Last>Dumay</b:Last>
            <b:First>John</b:First>
          </b:Person>
          <b:Person>
            <b:Last>Rooney</b:Last>
            <b:First>Jim</b:First>
          </b:Person>
        </b:NameList>
      </b:Author>
    </b:Author>
    <b:Volume>15</b:Volume>
    <b:Issue>3</b:Issue>
    <b:Medium>English</b:Medium>
    <b:YearAccessed>2017</b:YearAccessed>
    <b:MonthAccessed>July</b:MonthAccessed>
    <b:DayAccessed>07</b:DayAccessed>
    <b:RefOrder>5</b:RefOrder>
  </b:Source>
  <b:Source>
    <b:Tag>Kuh13</b:Tag>
    <b:SourceType>JournalArticle</b:SourceType>
    <b:Guid>{ED3F110B-784D-4FEA-8300-4ACBFBC80E50}</b:Guid>
    <b:Title>Age, Retirement and Establishment Closure</b:Title>
    <b:JournalName>International Journal of Manpower</b:JournalName>
    <b:Year>2013</b:Year>
    <b:Pages>536-551</b:Pages>
    <b:Author>
      <b:Author>
        <b:NameList>
          <b:Person>
            <b:Last>Kuhn</b:Last>
            <b:Middle>M</b:Middle>
            <b:First>Johan</b:First>
          </b:Person>
        </b:NameList>
      </b:Author>
    </b:Author>
    <b:Publisher>Emerald Group of Publishing Limited</b:Publisher>
    <b:Medium>English</b:Medium>
    <b:RefOrder>6</b:RefOrder>
  </b:Source>
  <b:Source>
    <b:Tag>Lim03</b:Tag>
    <b:SourceType>JournalArticle</b:SourceType>
    <b:Guid>{848A44FC-CE2F-4FEA-908E-277318F391FF}</b:Guid>
    <b:Title>An empirical study of older workers' attitudes towards the retirement experience</b:Title>
    <b:JournalName>Employee Relations</b:JournalName>
    <b:Year>2003</b:Year>
    <b:Pages>330-346</b:Pages>
    <b:Author>
      <b:Author>
        <b:NameList>
          <b:Person>
            <b:Last>Lim</b:Last>
            <b:Middle>K. G.</b:Middle>
            <b:First>Vivien</b:First>
          </b:Person>
        </b:NameList>
      </b:Author>
    </b:Author>
    <b:Volume>25</b:Volume>
    <b:Issue>4</b:Issue>
    <b:Medium>English</b:Medium>
    <b:YearAccessed>2017</b:YearAccessed>
    <b:MonthAccessed>July</b:MonthAccessed>
    <b:DayAccessed>07</b:DayAccessed>
    <b:RefOrder>7</b:RefOrder>
  </b:Source>
  <b:Source>
    <b:Tag>DeS13</b:Tag>
    <b:SourceType>JournalArticle</b:SourceType>
    <b:Guid>{7D869FE3-956E-40E8-91FF-AF291B5533B3}</b:Guid>
    <b:Title>Changing Causes and Consequences of Labour Force Participation Trends among the Elderly in Sri Lanka</b:Title>
    <b:Year>2013</b:Year>
    <b:City>Colombo</b:City>
    <b:Author>
      <b:Author>
        <b:NameList>
          <b:Person>
            <b:Last>De Silva</b:Last>
            <b:Middle>W</b:Middle>
            <b:First>Indralal</b:First>
          </b:Person>
          <b:Person>
            <b:Last>Fernando</b:Last>
            <b:Middle>Prasadi</b:Middle>
            <b:First>D.N.</b:First>
          </b:Person>
        </b:NameList>
      </b:Author>
    </b:Author>
    <b:Volume>3</b:Volume>
    <b:NumberVolumes>2</b:NumberVolumes>
    <b:Medium>English</b:Medium>
    <b:JournalName>Sri Lanka Journal of Advanced Social Studies</b:JournalName>
    <b:Month>July</b:Month>
    <b:Issue>2</b:Issue>
    <b:RefOrder>8</b:RefOrder>
  </b:Source>
  <b:Source>
    <b:Tag>Lai16</b:Tag>
    <b:SourceType>JournalArticle</b:SourceType>
    <b:Guid>{9006FE9E-58D0-4AF1-992E-BB078077C66B}</b:Guid>
    <b:Title>Managing employees beyond age 65: from the margins to the mainstream?</b:Title>
    <b:JournalName>Employee Relations</b:JournalName>
    <b:Year>2016</b:Year>
    <b:Pages>646-664</b:Pages>
    <b:Author>
      <b:Author>
        <b:NameList>
          <b:Person>
            <b:Last>Lain</b:Last>
            <b:First>David</b:First>
          </b:Person>
          <b:Person>
            <b:Last>Loretto</b:Last>
            <b:First>Wendy</b:First>
          </b:Person>
        </b:NameList>
      </b:Author>
    </b:Author>
    <b:Volume>38</b:Volume>
    <b:Issue>5</b:Issue>
    <b:Medium>English</b:Medium>
    <b:YearAccessed>2017</b:YearAccessed>
    <b:MonthAccessed>July</b:MonthAccessed>
    <b:DayAccessed>06</b:DayAccessed>
    <b:RefOrder>9</b:RefOrder>
  </b:Source>
  <b:Source>
    <b:Tag>Zac17</b:Tag>
    <b:SourceType>Book</b:SourceType>
    <b:Guid>{17089C6C-0B2F-4306-A1EF-3869CED52FF0}</b:Guid>
    <b:Title>Successful Aging at Work and Beyond: A Review and Critical Perspective</b:Title>
    <b:Year>2017</b:Year>
    <b:Publisher>Emerald Group of Publishing</b:Publisher>
    <b:Author>
      <b:Author>
        <b:NameList>
          <b:Person>
            <b:Last>Zacher</b:Last>
            <b:First>Hannes</b:First>
          </b:Person>
          <b:Person>
            <b:Last>Rudolph</b:Last>
            <b:First>Cort</b:First>
            <b:Middle>W.</b:Middle>
          </b:Person>
        </b:NameList>
      </b:Author>
    </b:Author>
    <b:JournalName>Age Diversity in the Workplace</b:JournalName>
    <b:Pages>35-64</b:Pages>
    <b:Medium>English</b:Medium>
    <b:CountryRegion>Australia</b:CountryRegion>
    <b:RefOrder>10</b:RefOrder>
  </b:Source>
  <b:Source>
    <b:Tag>Tur13</b:Tag>
    <b:SourceType>JournalArticle</b:SourceType>
    <b:Guid>{B16B1EB8-FDC7-46C5-B790-7F9C1ECB50D6}</b:Guid>
    <b:Title>The role of employers opinions about skills and productivity of older workers: example of Poland</b:Title>
    <b:JournalName>Employee Relations</b:JournalName>
    <b:Year>2013</b:Year>
    <b:Pages>648-664</b:Pages>
    <b:Author>
      <b:Author>
        <b:NameList>
          <b:Person>
            <b:Last>Turek</b:Last>
            <b:First>Konrad</b:First>
          </b:Person>
          <b:Person>
            <b:Last>Perek-Bialas</b:Last>
            <b:First>Jolanta</b:First>
          </b:Person>
        </b:NameList>
      </b:Author>
    </b:Author>
    <b:Publisher>Emerald Group of Publishing Limited</b:Publisher>
    <b:Volume>35</b:Volume>
    <b:Issue>6</b:Issue>
    <b:Medium>English</b:Medium>
    <b:RefOrder>11</b:RefOrder>
  </b:Source>
  <b:Source>
    <b:Tag>Pau15</b:Tag>
    <b:SourceType>JournalArticle</b:SourceType>
    <b:Guid>{C6CD1C89-229A-45B2-BA33-FAA4B6B2219E}</b:Guid>
    <b:Title>It’s never too late to learn</b:Title>
    <b:JournalName>Journal of Workplace Learning</b:JournalName>
    <b:Year>2015</b:Year>
    <b:Pages>457-472</b:Pages>
    <b:Author>
      <b:Author>
        <b:NameList>
          <b:Person>
            <b:Last>Paul</b:Last>
            <b:First>Russell</b:First>
          </b:Person>
          <b:Person>
            <b:Last>Kate</b:Last>
            <b:First>Warhurst</b:First>
          </b:Person>
          <b:Person>
            <b:Last>Black</b:Last>
            <b:First>Emma</b:First>
          </b:Person>
        </b:NameList>
      </b:Author>
    </b:Author>
    <b:Publisher>Emerald Group of Publishing Limited</b:Publisher>
    <b:Volume>27</b:Volume>
    <b:Issue>6</b:Issue>
    <b:Medium>English</b:Medium>
    <b:RefOrder>12</b:RefOrder>
  </b:Source>
  <b:Source>
    <b:Tag>Zap08</b:Tag>
    <b:SourceType>JournalArticle</b:SourceType>
    <b:Guid>{853FBBDD-EC5A-46C5-910B-A67E7BFDB47F}</b:Guid>
    <b:Title>Postponing job retirement?: Psychological influences on the preference for early or late retirement</b:Title>
    <b:JournalName>Career Development International</b:JournalName>
    <b:Year>2008</b:Year>
    <b:Pages>150-167</b:Pages>
    <b:Author>
      <b:Author>
        <b:NameList>
          <b:Person>
            <b:Last>Zappala</b:Last>
            <b:First>Salvatore</b:First>
          </b:Person>
          <b:Person>
            <b:Last>Depolo</b:Last>
            <b:First>Marco</b:First>
          </b:Person>
          <b:Person>
            <b:Last>Fraccaroli</b:Last>
            <b:First>Franco</b:First>
          </b:Person>
          <b:Person>
            <b:Last>Guglielmi</b:Last>
            <b:First>Dina</b:First>
          </b:Person>
          <b:Person>
            <b:Last>Sarchielli</b:Last>
            <b:First>Guido</b:First>
          </b:Person>
        </b:NameList>
      </b:Author>
    </b:Author>
    <b:Volume>13</b:Volume>
    <b:Issue>2</b:Issue>
    <b:Medium>English</b:Medium>
    <b:YearAccessed>2017</b:YearAccessed>
    <b:MonthAccessed>July</b:MonthAccessed>
    <b:DayAccessed>06</b:DayAccessed>
    <b:RefOrder>13</b:RefOrder>
  </b:Source>
  <b:Source>
    <b:Tag>Fly10</b:Tag>
    <b:SourceType>JournalArticle</b:SourceType>
    <b:Guid>{7AD0014D-E9E9-44CE-98A8-F26E6D728509}</b:Guid>
    <b:Title>Who would delay retirement? Typologies of older workers</b:Title>
    <b:Year>2010</b:Year>
    <b:JournalName>Personnel review</b:JournalName>
    <b:Pages>308-324</b:Pages>
    <b:Author>
      <b:Author>
        <b:NameList>
          <b:Person>
            <b:Last>Flynn</b:Last>
            <b:First>Matthew</b:First>
          </b:Person>
        </b:NameList>
      </b:Author>
    </b:Author>
    <b:Volume>39</b:Volume>
    <b:Issue>3</b:Issue>
    <b:Medium>English</b:Medium>
    <b:YearAccessed>2017</b:YearAccessed>
    <b:MonthAccessed>July</b:MonthAccessed>
    <b:DayAccessed>07</b:DayAccessed>
    <b:RefOrder>14</b:RefOrder>
  </b:Source>
  <b:Source>
    <b:Tag>The16</b:Tag>
    <b:SourceType>JournalArticle</b:SourceType>
    <b:Guid>{E2ED6792-F615-4FED-972F-C6FE07844736}</b:Guid>
    <b:Title>The Meaning of Work for Post - retirement Employment Decision</b:Title>
    <b:JournalName>Work, Aging and Retirement</b:JournalName>
    <b:Year>2015</b:Year>
    <b:Pages>12-23</b:Pages>
    <b:Author>
      <b:Author>
        <b:NameList>
          <b:Person>
            <b:Last>Fasbender</b:Last>
            <b:First>Ulrike</b:First>
          </b:Person>
          <b:Person>
            <b:Last>Wang</b:Last>
            <b:First>Mo</b:First>
          </b:Person>
          <b:Person>
            <b:Last>Voltmer</b:Last>
            <b:First>Jan-Bennet</b:First>
          </b:Person>
          <b:Person>
            <b:Last>Deller</b:Last>
            <b:First>Jurgen</b:First>
          </b:Person>
        </b:NameList>
      </b:Author>
    </b:Author>
    <b:Publisher>Oxford University Press</b:Publisher>
    <b:Volume>2</b:Volume>
    <b:City>Oxford</b:City>
    <b:Month>June</b:Month>
    <b:Day>3</b:Day>
    <b:RefOrder>15</b:RefOrder>
  </b:Source>
  <b:Source>
    <b:Tag>Mes12</b:Tag>
    <b:SourceType>JournalArticle</b:SourceType>
    <b:Guid>{44186980-94CD-4BB9-AE76-69702C5857E7}</b:Guid>
    <b:Title>Do discriminatory attitudes to older workers at work affect their retirement intentions?</b:Title>
    <b:JournalName>International Journal of Manpower</b:JournalName>
    <b:Year>2012</b:Year>
    <b:Pages>405-423</b:Pages>
    <b:Author>
      <b:Author>
        <b:NameList>
          <b:Person>
            <b:Last>Messe</b:Last>
            <b:First>Pierre-Jean</b:First>
          </b:Person>
        </b:NameList>
      </b:Author>
    </b:Author>
    <b:Publisher>Emerald Group of Publishing Limited</b:Publisher>
    <b:Volume>33</b:Volume>
    <b:Issue>4</b:Issue>
    <b:Medium>English</b:Medium>
    <b:RefOrder>16</b:RefOrder>
  </b:Source>
  <b:Source>
    <b:Tag>Vod08</b:Tag>
    <b:SourceType>ArticleInAPeriodical</b:SourceType>
    <b:Guid>{3B9A68C2-BE19-4F59-96BD-33D4A67AD2EF}</b:Guid>
    <b:Title>The Impact of Population Aging on the Labor Market: The Case of Sri Lanka</b:Title>
    <b:Year>2008</b:Year>
    <b:Month>April</b:Month>
    <b:Author>
      <b:Author>
        <b:NameList>
          <b:Person>
            <b:Last>Vodopivec</b:Last>
            <b:First>Milan</b:First>
          </b:Person>
          <b:Person>
            <b:Last>Arunatilake</b:Last>
            <b:First>Nisha</b:First>
          </b:Person>
        </b:NameList>
      </b:Author>
    </b:Author>
    <b:JournalName>IZA</b:JournalName>
    <b:City>Bonn</b:City>
    <b:Medium>English</b:Medium>
    <b:RefOrder>17</b:RefOrder>
  </b:Source>
  <b:Source>
    <b:Tag>Sha11</b:Tag>
    <b:SourceType>JournalArticle</b:SourceType>
    <b:Guid>{CE2527FA-0330-4F95-B1DA-DFDB4729335B}</b:Guid>
    <b:Title>A model of older workers' intentions to continue working</b:Title>
    <b:Year>2011</b:Year>
    <b:JournalName>Personnel Review</b:JournalName>
    <b:Pages>252-274</b:Pages>
    <b:Author>
      <b:Author>
        <b:NameList>
          <b:Person>
            <b:Last>Shacklock</b:Last>
            <b:First>Kate</b:First>
          </b:Person>
          <b:Person>
            <b:Last>Brunetto</b:Last>
            <b:First>Yvonne</b:First>
          </b:Person>
        </b:NameList>
      </b:Author>
    </b:Author>
    <b:Volume>40</b:Volume>
    <b:Issue>2</b:Issue>
    <b:Medium>English</b:Medium>
    <b:YearAccessed>2016</b:YearAccessed>
    <b:MonthAccessed>June</b:MonthAccessed>
    <b:DayAccessed>19</b:DayAccessed>
    <b:RefOrder>18</b:RefOrder>
  </b:Source>
  <b:Source>
    <b:Tag>Rop07</b:Tag>
    <b:SourceType>JournalArticle</b:SourceType>
    <b:Guid>{FEB64FDC-6938-4A9A-AE99-0F5126965761}</b:Guid>
    <b:Title>Ergonomic solutions for an aging workforce</b:Title>
    <b:JournalName>Journal of Facilities Management</b:JournalName>
    <b:Year>2007</b:Year>
    <b:Pages>172-178</b:Pages>
    <b:Author>
      <b:Author>
        <b:NameList>
          <b:Person>
            <b:Last>Roper</b:Last>
            <b:Middle>O.</b:Middle>
            <b:First>Kathy</b:First>
          </b:Person>
          <b:Person>
            <b:Last>Yeh</b:Last>
            <b:Middle>C.</b:Middle>
            <b:First>Daniel</b:First>
          </b:Person>
        </b:NameList>
      </b:Author>
    </b:Author>
    <b:Publisher>Emerald Group of Publishing Limited</b:Publisher>
    <b:Volume>5</b:Volume>
    <b:Issue>3</b:Issue>
    <b:Medium>English</b:Medium>
    <b:RefOrder>19</b:RefOrder>
  </b:Source>
  <b:Source>
    <b:Tag>Des09</b:Tag>
    <b:SourceType>Book</b:SourceType>
    <b:Guid>{B84AE7E8-5EA2-407E-9011-50F719BBB39E}</b:Guid>
    <b:Title>HUMAN RESOURCE MANAGEMENT </b:Title>
    <b:Year>2009</b:Year>
    <b:City>New Delhi</b:City>
    <b:Publisher>Dorling Kindersley (India) Pvt. Ltd.</b:Publisher>
    <b:Author>
      <b:Author>
        <b:NameList>
          <b:Person>
            <b:Last>Dessler</b:Last>
            <b:First>Gary</b:First>
          </b:Person>
          <b:Person>
            <b:Last>Varkkey</b:Last>
            <b:First>Biju</b:First>
          </b:Person>
        </b:NameList>
      </b:Author>
    </b:Author>
    <b:CountryRegion>India</b:CountryRegion>
    <b:StandardNumber>ISBN: 9780131746176</b:StandardNumber>
    <b:Pages>396-399</b:Pages>
    <b:Edition>11</b:Edition>
    <b:Medium>English</b:Medium>
    <b:RefOrder>20</b:RefOrder>
  </b:Source>
  <b:Source>
    <b:Tag>Con12</b:Tag>
    <b:SourceType>JournalArticle</b:SourceType>
    <b:Guid>{A63B5C18-E634-46B3-8FBD-DE6D03FA5B11}</b:Guid>
    <b:Title>Ageing and employers’ perceptions of labour costs and productivity</b:Title>
    <b:JournalName>International Journal of Manpower</b:JournalName>
    <b:Year>2012</b:Year>
    <b:Pages>629-647</b:Pages>
    <b:Author>
      <b:Author>
        <b:NameList>
          <b:Person>
            <b:Last>Conen</b:Last>
            <b:Middle>S.</b:Middle>
            <b:First>Wieteke</b:First>
          </b:Person>
          <b:Person>
            <b:Last>Dalen</b:Last>
            <b:Middle>P. van</b:Middle>
            <b:First>Hendrik</b:First>
          </b:Person>
          <b:Person>
            <b:Last>Henkens</b:Last>
            <b:First>Ke`ne</b:First>
          </b:Person>
        </b:NameList>
      </b:Author>
    </b:Author>
    <b:Publisher>Emerald Group Publishing Limited</b:Publisher>
    <b:Medium>English</b:Medium>
    <b:RefOrder>21</b:RefOrder>
  </b:Source>
  <b:Source>
    <b:Tag>Sch12</b:Tag>
    <b:SourceType>JournalArticle</b:SourceType>
    <b:Guid>{C72259E2-4592-4100-B3C5-AC40FFA82D37}</b:Guid>
    <b:Title>Intention to Unretire: HR and the boomerang effect</b:Title>
    <b:JournalName>Career Development International</b:JournalName>
    <b:Year>2012</b:Year>
    <b:Pages>149-167</b:Pages>
    <b:Author>
      <b:Author>
        <b:NameList>
          <b:Person>
            <b:Last>Schlosser</b:Last>
            <b:First>Francine</b:First>
          </b:Person>
          <b:Person>
            <b:Last>Zinni</b:Last>
            <b:First>Deborah</b:First>
          </b:Person>
          <b:Person>
            <b:Last>Armstrong-Stassen</b:Last>
            <b:First>Marjorie</b:First>
          </b:Person>
        </b:NameList>
      </b:Author>
    </b:Author>
    <b:Volume>17</b:Volume>
    <b:Issue>2</b:Issue>
    <b:Medium>English</b:Medium>
    <b:YearAccessed>2017</b:YearAccessed>
    <b:MonthAccessed>July</b:MonthAccessed>
    <b:DayAccessed>07</b:DayAccessed>
    <b:RefOrder>22</b:RefOrder>
  </b:Source>
  <b:Source>
    <b:Tag>Koo08</b:Tag>
    <b:SourceType>JournalArticle</b:SourceType>
    <b:Guid>{AB27E5D1-C402-4FA7-84DC-564FFEC0B494}</b:Guid>
    <b:Title>Older workers' motivation to continue to work: five meanings of age: A conceptual review</b:Title>
    <b:JournalName>Journal of Managerial Psychology</b:JournalName>
    <b:Year>2008</b:Year>
    <b:Pages>364-394</b:Pages>
    <b:Author>
      <b:Author>
        <b:NameList>
          <b:Person>
            <b:Last>Kooij</b:Last>
            <b:First>Dorien</b:First>
          </b:Person>
          <b:Person>
            <b:Last>Lange</b:Last>
            <b:Middle>de</b:Middle>
            <b:First>Annet</b:First>
          </b:Person>
          <b:Person>
            <b:Last>Jansen</b:Last>
            <b:First>Paul</b:First>
          </b:Person>
          <b:Person>
            <b:Last>Dikkers</b:Last>
            <b:First>Josje</b:First>
          </b:Person>
        </b:NameList>
      </b:Author>
    </b:Author>
    <b:Volume>23</b:Volume>
    <b:Issue>4</b:Issue>
    <b:Medium>English</b:Medium>
    <b:YearAccessed>2015</b:YearAccessed>
    <b:MonthAccessed>April</b:MonthAccessed>
    <b:DayAccessed>28</b:DayAccessed>
    <b:RefOrder>23</b:RefOrder>
  </b:Source>
  <b:Source>
    <b:Tag>Cha17</b:Tag>
    <b:SourceType>JournalArticle</b:SourceType>
    <b:Guid>{33D0BB5B-055B-461E-B555-BE81E11E5905}</b:Guid>
    <b:Title>2017</b:Title>
    <b:JournalName>International Journal of Manpower</b:JournalName>
    <b:Year>2017</b:Year>
    <b:Pages>4-24</b:Pages>
    <b:Author>
      <b:Author>
        <b:NameList>
          <b:Person>
            <b:Last>Charni</b:Last>
            <b:First>Kadija</b:First>
          </b:Person>
          <b:Person>
            <b:Last>Bazen</b:Last>
            <b:First>Stephen</b:First>
          </b:Person>
        </b:NameList>
      </b:Author>
    </b:Author>
    <b:Publisher>Emerald Group of Publishing</b:Publisher>
    <b:Volume>38</b:Volume>
    <b:Issue>1</b:Issue>
    <b:Medium>English</b:Medium>
    <b:RefOrder>24</b:RefOrder>
  </b:Source>
  <b:Source>
    <b:Tag>Hal10</b:Tag>
    <b:SourceType>JournalArticle</b:SourceType>
    <b:Guid>{768EE647-5B97-43D0-8D21-E3E398F0652C}</b:Guid>
    <b:Title>Do buy-outs of older workers matter? Estimating retirement behavior with special early retirement offers</b:Title>
    <b:Year>2010</b:Year>
    <b:JournalName>International Journal of Manpower</b:JournalName>
    <b:Pages>337-359</b:Pages>
    <b:Author>
      <b:Author>
        <b:NameList>
          <b:Person>
            <b:Last>Hallberg</b:Last>
            <b:First>Daniel</b:First>
          </b:Person>
          <b:Person>
            <b:Last>Eklof</b:Last>
            <b:First>Matias</b:First>
          </b:Person>
        </b:NameList>
      </b:Author>
    </b:Author>
    <b:Volume>3</b:Volume>
    <b:Issue>3</b:Issue>
    <b:Medium>English</b:Medium>
    <b:RefOrder>25</b:RefOrder>
  </b:Source>
  <b:Source>
    <b:Tag>Che13</b:Tag>
    <b:SourceType>JournalArticle</b:SourceType>
    <b:Guid>{56AC451D-92ED-4791-83B9-5EB08995ECD5}</b:Guid>
    <b:Title>Older workers' successful aging and intention to stay</b:Title>
    <b:JournalName>Journal of Managerial Psychology</b:JournalName>
    <b:Year>2013</b:Year>
    <b:Pages>645-660</b:Pages>
    <b:Author>
      <b:Author>
        <b:NameList>
          <b:Person>
            <b:Last>Cheung</b:Last>
            <b:First>Francis</b:First>
          </b:Person>
          <b:Person>
            <b:Last>Wu</b:Last>
            <b:Middle>M.S.</b:Middle>
            <b:First>Anise</b:First>
          </b:Person>
        </b:NameList>
      </b:Author>
    </b:Author>
    <b:Publisher>Emerald Group of Publishing</b:Publisher>
    <b:Volume>28</b:Volume>
    <b:Issue>6</b:Issue>
    <b:Medium>English</b:Medium>
    <b:RefOrder>26</b:RefOrder>
  </b:Source>
  <b:Source>
    <b:Tag>Buy09</b:Tag>
    <b:SourceType>JournalArticle</b:SourceType>
    <b:Guid>{27CAFD2F-F13A-4AA6-A3AE-8664298E252E}</b:Guid>
    <b:Title>The aging workforce: perception of career ending</b:Title>
    <b:JournalName>Journal of Managerial Psychology</b:JournalName>
    <b:Year>2009</b:Year>
    <b:Pages>102-117</b:Pages>
    <b:Author>
      <b:Author>
        <b:NameList>
          <b:Person>
            <b:Last>Buyens</b:Last>
            <b:First>Dirk</b:First>
          </b:Person>
          <b:Person>
            <b:Last>Dijk</b:Last>
            <b:Middle>Van</b:Middle>
            <b:First>Hans</b:First>
          </b:Person>
          <b:Person>
            <b:Last>Dewilde</b:Last>
            <b:First>Thomas</b:First>
          </b:Person>
          <b:Person>
            <b:Last>De Vos</b:Last>
            <b:First>Ans</b:First>
          </b:Person>
        </b:NameList>
      </b:Author>
    </b:Author>
    <b:Volume>24</b:Volume>
    <b:Issue>2</b:Issue>
    <b:Medium>English</b:Medium>
    <b:YearAccessed>2017</b:YearAccessed>
    <b:MonthAccessed>July</b:MonthAccessed>
    <b:DayAccessed>06</b:DayAccessed>
    <b:RefOrder>27</b:RefOrder>
  </b:Source>
  <b:Source>
    <b:Tag>Cad17</b:Tag>
    <b:SourceType>JournalArticle</b:SourceType>
    <b:Guid>{E20C0426-3A92-407D-89E2-315BCCDAF464}</b:Guid>
    <b:Title>Ageism in the Workplace</b:Title>
    <b:Year>2017</b:Year>
    <b:Month>March</b:Month>
    <b:Author>
      <b:Author>
        <b:NameList>
          <b:Person>
            <b:Last>Cadiz</b:Last>
            <b:First>David</b:First>
            <b:Middle>M.</b:Middle>
          </b:Person>
          <b:Person>
            <b:Last>Pytlovany</b:Last>
            <b:First>Amy</b:First>
            <b:Middle>C.</b:Middle>
          </b:Person>
          <b:Person>
            <b:Last>Truxillo</b:Last>
            <b:First>Donald</b:First>
            <b:Middle>M.</b:Middle>
          </b:Person>
        </b:NameList>
      </b:Author>
    </b:Author>
    <b:JournalName>Oxford Research Encyclopedia of Psychology</b:JournalName>
    <b:Pages>1-24</b:Pages>
    <b:Publisher>Oxford University Press, USA</b:Publisher>
    <b:Medium>English</b:Medium>
    <b:DOI>10.1093/acrefore/9780190236557.013.2</b:DOI>
    <b:RefOrder>28</b:RefOrder>
  </b:Source>
  <b:Source>
    <b:Tag>Bek07</b:Tag>
    <b:SourceType>JournalArticle</b:SourceType>
    <b:Guid>{2B61AE33-813C-4A73-90C2-B6D210A8A35C}</b:Guid>
    <b:Title>SOCIAL SECURITY AND EMPLOYMENT: AN INSTRUMENTAL LINK</b:Title>
    <b:JournalName>International Journal of Sociology and Social Policy</b:JournalName>
    <b:Year>2007</b:Year>
    <b:Pages>19-28</b:Pages>
    <b:Author>
      <b:Author>
        <b:NameList>
          <b:Person>
            <b:Last>Bekemans</b:Last>
            <b:First>Leone</b:First>
          </b:Person>
        </b:NameList>
      </b:Author>
    </b:Author>
    <b:Medium>English</b:Medium>
    <b:RefOrder>29</b:RefOrder>
  </b:Source>
  <b:Source>
    <b:Tag>Aal14</b:Tag>
    <b:SourceType>JournalArticle</b:SourceType>
    <b:Guid>{E5AE5548-1DE3-4C6E-9B66-C1888935EC6E}</b:Guid>
    <b:Title>employees and human resource management – evidence of gender-sensitivity?</b:Title>
    <b:Year>2014</b:Year>
    <b:Publisher>Emerald Group of Publishing</b:Publisher>
    <b:JournalName>Equality, Diversity and Inclusion: An International Journal</b:JournalName>
    <b:Pages>160-176</b:Pages>
    <b:Author>
      <b:Author>
        <b:NameList>
          <b:Person>
            <b:Last>Aaltio</b:Last>
            <b:First>Iiris</b:First>
          </b:Person>
          <b:Person>
            <b:Last>Salminen</b:Last>
            <b:First>Hanna</b:First>
            <b:Middle>Maria</b:Middle>
          </b:Person>
          <b:Person>
            <b:Last>Koponen</b:Last>
            <b:First>Sirpa</b:First>
          </b:Person>
        </b:NameList>
      </b:Author>
    </b:Author>
    <b:Volume>33</b:Volume>
    <b:Issue>2</b:Issue>
    <b:Medium>English</b:Medium>
    <b:DOI>https://doi.org/10.1108/EDI-10-2011-0076</b:DOI>
    <b:RefOrder>30</b:RefOrder>
  </b:Source>
  <b:Source>
    <b:Tag>Pat03</b:Tag>
    <b:SourceType>JournalArticle</b:SourceType>
    <b:Guid>{85053E0A-31B5-4787-BA34-34480FA16A79}</b:Guid>
    <b:Title>Employability of older workers</b:Title>
    <b:JournalName>Equal Opportunities International</b:JournalName>
    <b:Year>2003</b:Year>
    <b:Pages>50-63</b:Pages>
    <b:Author>
      <b:Author>
        <b:NameList>
          <b:Person>
            <b:Last>Patrickson</b:Last>
            <b:First>Margaret</b:First>
          </b:Person>
          <b:Person>
            <b:Last>Ranzijn</b:Last>
            <b:First>Robert</b:First>
          </b:Person>
        </b:NameList>
      </b:Author>
    </b:Author>
    <b:Publisher>Emerald Group of Publishing</b:Publisher>
    <b:Volume>22</b:Volume>
    <b:Issue>5</b:Issue>
    <b:Medium>English</b:Medium>
    <b:RefOrder>31</b:RefOrder>
  </b:Source>
  <b:Source>
    <b:Tag>Hur93</b:Tag>
    <b:SourceType>Report</b:SourceType>
    <b:Guid>{AE4C71B8-1238-450C-BBEE-020DF187D9C1}</b:Guid>
    <b:Title>The Effect of Labour Market Rigidities on the Labour Force Behavior of Older Workers</b:Title>
    <b:Year>1993</b:Year>
    <b:Publisher>National Bureau of Economic Research</b:Publisher>
    <b:City>New York</b:City>
    <b:Author>
      <b:Author>
        <b:NameList>
          <b:Person>
            <b:Last>Hurd</b:Last>
            <b:Middle>D.</b:Middle>
            <b:First>Michael</b:First>
          </b:Person>
        </b:NameList>
      </b:Author>
    </b:Author>
    <b:Department>Department of Economics</b:Department>
    <b:Institution>State University of New York at Stone Brook</b:Institution>
    <b:Medium>English</b:Medium>
    <b:RefOrder>32</b:RefOrder>
  </b:Source>
  <b:Source>
    <b:Tag>Bro11</b:Tag>
    <b:SourceType>JournalArticle</b:SourceType>
    <b:Guid>{FF702C1F-53A8-4DA1-B224-87713DD8D9DD}</b:Guid>
    <b:Title>Comparisons of cognitive ability and job attitudes of older and younger workers</b:Title>
    <b:JournalName>Equality, Diversity and Inclusion: An International Journal</b:JournalName>
    <b:Year>2011</b:Year>
    <b:Pages>105-126</b:Pages>
    <b:Author>
      <b:Author>
        <b:NameList>
          <b:Person>
            <b:Last>Brough</b:Last>
            <b:First>Paula</b:First>
          </b:Person>
          <b:Person>
            <b:Last>Johnson</b:Last>
            <b:First>Greer</b:First>
          </b:Person>
          <b:Person>
            <b:Last>Drummond</b:Last>
            <b:First>Suzie</b:First>
          </b:Person>
          <b:Person>
            <b:Last>Pennisi</b:Last>
            <b:First>Shannon</b:First>
          </b:Person>
          <b:Person>
            <b:Last>Timms</b:Last>
            <b:First>Carolyn</b:First>
          </b:Person>
        </b:NameList>
      </b:Author>
    </b:Author>
    <b:Publisher>Emerald Group of Publishing</b:Publisher>
    <b:Volume>30</b:Volume>
    <b:Issue>2</b:Issue>
    <b:Medium>English</b:Medium>
    <b:URL>http://dx.doi.org/10.1108/02610151111116508</b:URL>
    <b:DOI>10.1108/02610151111116508</b:DOI>
    <b:RefOrder>33</b:RefOrder>
  </b:Source>
  <b:Source>
    <b:Tag>Wor15</b:Tag>
    <b:SourceType>Report</b:SourceType>
    <b:Guid>{F40D6E3F-89A5-4176-BCAA-9A1A30B5B968}</b:Guid>
    <b:Title>World Report on Ageing and Health</b:Title>
    <b:Year>2015</b:Year>
    <b:Author>
      <b:Author>
        <b:Corporate>World Health Organization</b:Corporate>
      </b:Author>
    </b:Author>
    <b:Publisher>WHO</b:Publisher>
    <b:City>Luxembourg</b:City>
    <b:Institution>United Nations</b:Institution>
    <b:Medium>English</b:Medium>
    <b:RefOrder>34</b:RefOrder>
  </b:Source>
  <b:Source>
    <b:Tag>Sek03</b:Tag>
    <b:SourceType>Book</b:SourceType>
    <b:Guid>{562BF9D0-9083-4F82-A1C0-3F0A41D42ECC}</b:Guid>
    <b:Title>Research Methods for Business - A Skill Building Approach</b:Title>
    <b:Year>2010</b:Year>
    <b:City>New York</b:City>
    <b:Publisher>John Wiley &amp; Sons, Inc.</b:Publisher>
    <b:Author>
      <b:Author>
        <b:NameList>
          <b:Person>
            <b:Last>Sekaran</b:Last>
            <b:First>Uma</b:First>
          </b:Person>
        </b:NameList>
      </b:Author>
      <b:Editor>
        <b:NameList>
          <b:Person>
            <b:Last>Marshall</b:Last>
            <b:First>Jeff</b:First>
          </b:Person>
        </b:NameList>
      </b:Editor>
    </b:Author>
    <b:StateProvince>NY</b:StateProvince>
    <b:CountryRegion>USA</b:CountryRegion>
    <b:Medium>English</b:Medium>
    <b:RefOrder>35</b:RefOrder>
  </b:Source>
  <b:Source>
    <b:Tag>Sau09</b:Tag>
    <b:SourceType>Book</b:SourceType>
    <b:Guid>{8B2B472D-289B-4790-979B-A846F5DB6065}</b:Guid>
    <b:Title>Research Methods for Business Students</b:Title>
    <b:Year>2009</b:Year>
    <b:City>Harlow</b:City>
    <b:Publisher>Pearson Education Limited</b:Publisher>
    <b:Author>
      <b:Author>
        <b:NameList>
          <b:Person>
            <b:Last>Saunders</b:Last>
            <b:First>Mark</b:First>
          </b:Person>
          <b:Person>
            <b:Last>Lewis</b:Last>
            <b:First>Philip</b:First>
          </b:Person>
          <b:Person>
            <b:Last>Thornhill</b:Last>
            <b:First>Adrian</b:First>
          </b:Person>
        </b:NameList>
      </b:Author>
    </b:Author>
    <b:StateProvince>Essex</b:StateProvince>
    <b:CountryRegion>England</b:CountryRegion>
    <b:StandardNumber>ISBN: 978-0-273-71686-0</b:StandardNumber>
    <b:Edition>5th</b:Edition>
    <b:Medium>English</b:Medium>
    <b:RefOrder>36</b:RefOrder>
  </b:Source>
</b:Sources>
</file>

<file path=customXml/itemProps1.xml><?xml version="1.0" encoding="utf-8"?>
<ds:datastoreItem xmlns:ds="http://schemas.openxmlformats.org/officeDocument/2006/customXml" ds:itemID="{0459F82F-4F31-4036-A43A-87B0AF08AE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16</Pages>
  <Words>6100</Words>
  <Characters>34776</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Harshaka</dc:creator>
  <cp:keywords/>
  <dc:description/>
  <cp:lastModifiedBy>Harshaka</cp:lastModifiedBy>
  <cp:revision>59</cp:revision>
  <dcterms:created xsi:type="dcterms:W3CDTF">2019-01-04T06:48:00Z</dcterms:created>
  <dcterms:modified xsi:type="dcterms:W3CDTF">2019-01-29T07:29:00Z</dcterms:modified>
</cp:coreProperties>
</file>