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360" w:lineRule="auto"/>
        <w:rPr>
          <w:rFonts w:cs="Times New Roman" w:eastAsiaTheme="minorHAnsi"/>
          <w:b w:val="0"/>
          <w:bCs w:val="0"/>
          <w:color w:val="auto"/>
          <w:sz w:val="24"/>
          <w:szCs w:val="22"/>
        </w:rPr>
      </w:pPr>
      <w:r>
        <w:rPr>
          <w:rFonts w:cs="Times New Roman" w:eastAsiaTheme="minorHAnsi"/>
          <w:b w:val="0"/>
          <w:bCs w:val="0"/>
          <w:color w:val="auto"/>
          <w:sz w:val="24"/>
          <w:szCs w:val="22"/>
        </w:rPr>
        <w:t>14th International Conference on Business and Information – 2023</w:t>
      </w:r>
    </w:p>
    <w:p>
      <w:pPr>
        <w:jc w:val="center"/>
        <w:rPr>
          <w:rFonts w:ascii="Times New Roman" w:hAnsi="Times New Roman" w:cs="Times New Roman"/>
          <w:sz w:val="24"/>
        </w:rPr>
      </w:pPr>
      <w:r>
        <w:rPr>
          <w:rFonts w:ascii="Times New Roman" w:hAnsi="Times New Roman" w:cs="Times New Roman"/>
          <w:sz w:val="24"/>
          <w:lang w:bidi="ar-SA"/>
        </w:rPr>
        <mc:AlternateContent>
          <mc:Choice Requires="wps">
            <w:drawing>
              <wp:anchor distT="0" distB="0" distL="114300" distR="114300" simplePos="0" relativeHeight="251666432" behindDoc="0" locked="0" layoutInCell="1" allowOverlap="1">
                <wp:simplePos x="0" y="0"/>
                <wp:positionH relativeFrom="column">
                  <wp:posOffset>-59690</wp:posOffset>
                </wp:positionH>
                <wp:positionV relativeFrom="paragraph">
                  <wp:posOffset>270510</wp:posOffset>
                </wp:positionV>
                <wp:extent cx="5090160" cy="0"/>
                <wp:effectExtent l="0" t="0" r="15240" b="19050"/>
                <wp:wrapNone/>
                <wp:docPr id="24" name="Straight Connector 24"/>
                <wp:cNvGraphicFramePr/>
                <a:graphic xmlns:a="http://schemas.openxmlformats.org/drawingml/2006/main">
                  <a:graphicData uri="http://schemas.microsoft.com/office/word/2010/wordprocessingShape">
                    <wps:wsp>
                      <wps:cNvCnPr/>
                      <wps:spPr>
                        <a:xfrm>
                          <a:off x="0" y="0"/>
                          <a:ext cx="5090368" cy="1"/>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4.7pt;margin-top:21.3pt;height:0pt;width:400.8pt;z-index:251666432;mso-width-relative:page;mso-height-relative:page;" filled="f" stroked="t" coordsize="21600,21600" o:gfxdata="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X4R3LWAAAACAEAAA8A&#10;AAAAAAAAAQAgAAAAIgAAAGRycy9kb3ducmV2LnhtbFBLAQIUABQAAAAIAIdO4kDF09kq4AEAANgD&#10;AAAOAAAAAAAAAAEAIAAAACUBAABkcnMvZTJvRG9jLnhtbFBLBQYAAAAABgAGAFkBAAB3BQAAAAA=&#10;">
                <v:fill on="f" focussize="0,0"/>
                <v:stroke color="#000000 [3200]" joinstyle="round"/>
                <v:imagedata o:title=""/>
                <o:lock v:ext="edit" aspectratio="f"/>
              </v:line>
            </w:pict>
          </mc:Fallback>
        </mc:AlternateContent>
      </w:r>
      <w:r>
        <w:rPr>
          <w:rFonts w:ascii="Times New Roman" w:hAnsi="Times New Roman" w:cs="Times New Roman"/>
          <w:sz w:val="24"/>
        </w:rPr>
        <w:t>ISSN…………..</w:t>
      </w:r>
    </w:p>
    <w:p>
      <w:pPr>
        <w:pStyle w:val="2"/>
        <w:spacing w:line="360" w:lineRule="auto"/>
        <w:jc w:val="left"/>
        <w:rPr>
          <w:rFonts w:hint="default"/>
        </w:rPr>
      </w:pPr>
      <w:r>
        <w:rPr>
          <w:rFonts w:eastAsia="Times New Roman" w:cs="Times New Roman"/>
          <w:color w:val="auto"/>
        </w:rPr>
        <w:t>Determinants of Consumer Purchasing Intention for Residential Real Estate: Potential Middle-Income Buyers' Point of View in Colombo and Suburbs</w:t>
      </w:r>
      <w:bookmarkStart w:id="3" w:name="_GoBack"/>
      <w:bookmarkEnd w:id="3"/>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Times New Roman" w:hAnsi="Times New Roman" w:cs="Times New Roman"/>
        </w:rPr>
      </w:pPr>
      <w:r>
        <w:rPr>
          <w:rFonts w:hint="default" w:ascii="Times New Roman" w:hAnsi="Times New Roman" w:eastAsia="Helvetica" w:cs="Times New Roman"/>
          <w:b/>
          <w:bCs/>
          <w:i w:val="0"/>
          <w:iCs w:val="0"/>
          <w:caps w:val="0"/>
          <w:color w:val="282828"/>
          <w:spacing w:val="0"/>
          <w:sz w:val="19"/>
          <w:szCs w:val="19"/>
          <w:shd w:val="clear" w:fill="FFFFFF"/>
        </w:rPr>
        <w:t>W T Nawodya Weerakkody</w:t>
      </w:r>
      <w:r>
        <w:rPr>
          <w:rFonts w:hint="default" w:ascii="Times New Roman" w:hAnsi="Times New Roman" w:eastAsia="Helvetica" w:cs="Times New Roman"/>
          <w:b/>
          <w:bCs/>
          <w:i w:val="0"/>
          <w:iCs w:val="0"/>
          <w:caps w:val="0"/>
          <w:color w:val="282828"/>
          <w:spacing w:val="0"/>
          <w:sz w:val="19"/>
          <w:szCs w:val="19"/>
          <w:shd w:val="clear" w:fill="FFFFFF"/>
          <w:vertAlign w:val="superscript"/>
          <w:lang w:val="en-GB"/>
        </w:rPr>
        <w:t>1</w:t>
      </w:r>
      <w:r>
        <w:rPr>
          <w:rFonts w:hint="default" w:ascii="Times New Roman" w:hAnsi="Times New Roman" w:eastAsia="Helvetica" w:cs="Times New Roman"/>
          <w:b/>
          <w:bCs/>
          <w:i w:val="0"/>
          <w:iCs w:val="0"/>
          <w:caps w:val="0"/>
          <w:color w:val="282828"/>
          <w:spacing w:val="0"/>
          <w:sz w:val="19"/>
          <w:szCs w:val="19"/>
          <w:shd w:val="clear" w:fill="FFFFFF"/>
        </w:rPr>
        <w:t> </w:t>
      </w:r>
      <w:r>
        <w:rPr>
          <w:rFonts w:hint="default" w:ascii="Times New Roman" w:hAnsi="Times New Roman" w:eastAsia="Helvetica" w:cs="Times New Roman"/>
          <w:b/>
          <w:bCs/>
          <w:i w:val="0"/>
          <w:iCs w:val="0"/>
          <w:caps w:val="0"/>
          <w:color w:val="282828"/>
          <w:spacing w:val="0"/>
          <w:sz w:val="19"/>
          <w:szCs w:val="19"/>
          <w:shd w:val="clear" w:fill="FFFFFF"/>
          <w:lang w:val="en-GB"/>
        </w:rPr>
        <w:t xml:space="preserve">and </w:t>
      </w:r>
      <w:r>
        <w:rPr>
          <w:rFonts w:hint="default" w:ascii="Times New Roman" w:hAnsi="Times New Roman" w:eastAsia="Helvetica" w:cs="Times New Roman"/>
          <w:i w:val="0"/>
          <w:iCs w:val="0"/>
          <w:caps w:val="0"/>
          <w:color w:val="282828"/>
          <w:spacing w:val="0"/>
          <w:sz w:val="19"/>
          <w:szCs w:val="19"/>
          <w:shd w:val="clear" w:fill="FFFFFF"/>
        </w:rPr>
        <w:t>Bandara Wanninayake</w:t>
      </w:r>
      <w:r>
        <w:rPr>
          <w:rFonts w:hint="default" w:ascii="Times New Roman" w:hAnsi="Times New Roman" w:eastAsia="Helvetica" w:cs="Times New Roman"/>
          <w:i w:val="0"/>
          <w:iCs w:val="0"/>
          <w:caps w:val="0"/>
          <w:color w:val="282828"/>
          <w:spacing w:val="0"/>
          <w:sz w:val="19"/>
          <w:szCs w:val="19"/>
          <w:shd w:val="clear" w:fill="FFFFFF"/>
          <w:vertAlign w:val="superscript"/>
          <w:lang w:val="en-GB"/>
        </w:rPr>
        <w:t>2</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Times New Roman" w:hAnsi="Times New Roman" w:cs="Times New Roman"/>
          <w:lang w:val="en-GB"/>
        </w:rPr>
      </w:pPr>
      <w:r>
        <w:rPr>
          <w:rFonts w:hint="default" w:ascii="Times New Roman" w:hAnsi="Times New Roman" w:eastAsia="Helvetica" w:cs="Times New Roman"/>
          <w:i w:val="0"/>
          <w:iCs w:val="0"/>
          <w:caps w:val="0"/>
          <w:color w:val="282828"/>
          <w:spacing w:val="0"/>
          <w:sz w:val="19"/>
          <w:szCs w:val="19"/>
          <w:shd w:val="clear" w:fill="FFFFFF"/>
        </w:rPr>
        <w:t>National Water Supply &amp; Drainag</w:t>
      </w:r>
      <w:r>
        <w:rPr>
          <w:rFonts w:hint="default" w:ascii="Times New Roman" w:hAnsi="Times New Roman" w:eastAsia="Helvetica" w:cs="Times New Roman"/>
          <w:i w:val="0"/>
          <w:iCs w:val="0"/>
          <w:caps w:val="0"/>
          <w:color w:val="282828"/>
          <w:spacing w:val="0"/>
          <w:sz w:val="19"/>
          <w:szCs w:val="19"/>
          <w:u w:val="none"/>
          <w:shd w:val="clear" w:fill="FFFFFF"/>
        </w:rPr>
        <w:t>e</w:t>
      </w:r>
      <w:r>
        <w:rPr>
          <w:rFonts w:hint="default" w:ascii="Times New Roman" w:hAnsi="Times New Roman" w:eastAsia="Helvetica" w:cs="Times New Roman"/>
          <w:i w:val="0"/>
          <w:iCs w:val="0"/>
          <w:caps w:val="0"/>
          <w:color w:val="auto"/>
          <w:spacing w:val="0"/>
          <w:sz w:val="19"/>
          <w:szCs w:val="19"/>
          <w:u w:val="none"/>
          <w:shd w:val="clear" w:fill="FFFFFF"/>
          <w:lang w:val="en-GB"/>
        </w:rPr>
        <w:t xml:space="preserve"> </w:t>
      </w:r>
      <w:r>
        <w:rPr>
          <w:rFonts w:hint="default" w:ascii="Times New Roman" w:hAnsi="Times New Roman" w:eastAsia="Helvetica" w:cs="Times New Roman"/>
          <w:i w:val="0"/>
          <w:iCs w:val="0"/>
          <w:caps w:val="0"/>
          <w:color w:val="auto"/>
          <w:spacing w:val="0"/>
          <w:sz w:val="19"/>
          <w:szCs w:val="19"/>
          <w:u w:val="none"/>
          <w:shd w:val="clear" w:fill="FFFFFF"/>
        </w:rPr>
        <w:fldChar w:fldCharType="begin"/>
      </w:r>
      <w:r>
        <w:rPr>
          <w:rFonts w:hint="default" w:ascii="Times New Roman" w:hAnsi="Times New Roman" w:eastAsia="Helvetica" w:cs="Times New Roman"/>
          <w:i w:val="0"/>
          <w:iCs w:val="0"/>
          <w:caps w:val="0"/>
          <w:color w:val="auto"/>
          <w:spacing w:val="0"/>
          <w:sz w:val="19"/>
          <w:szCs w:val="19"/>
          <w:u w:val="none"/>
          <w:shd w:val="clear" w:fill="FFFFFF"/>
        </w:rPr>
        <w:instrText xml:space="preserve"> HYPERLINK "mailto:Board,1nawodyaweerakkody@gmail.com" </w:instrText>
      </w:r>
      <w:r>
        <w:rPr>
          <w:rFonts w:hint="default" w:ascii="Times New Roman" w:hAnsi="Times New Roman" w:eastAsia="Helvetica" w:cs="Times New Roman"/>
          <w:i w:val="0"/>
          <w:iCs w:val="0"/>
          <w:caps w:val="0"/>
          <w:color w:val="auto"/>
          <w:spacing w:val="0"/>
          <w:sz w:val="19"/>
          <w:szCs w:val="19"/>
          <w:u w:val="none"/>
          <w:shd w:val="clear" w:fill="FFFFFF"/>
        </w:rPr>
        <w:fldChar w:fldCharType="separate"/>
      </w:r>
      <w:r>
        <w:rPr>
          <w:rStyle w:val="13"/>
          <w:rFonts w:hint="default" w:ascii="Times New Roman" w:hAnsi="Times New Roman" w:eastAsia="Helvetica" w:cs="Times New Roman"/>
          <w:i w:val="0"/>
          <w:iCs w:val="0"/>
          <w:caps w:val="0"/>
          <w:color w:val="auto"/>
          <w:spacing w:val="0"/>
          <w:sz w:val="19"/>
          <w:szCs w:val="19"/>
          <w:u w:val="none"/>
          <w:shd w:val="clear" w:fill="FFFFFF"/>
        </w:rPr>
        <w:t>Board</w:t>
      </w:r>
      <w:r>
        <w:rPr>
          <w:rStyle w:val="13"/>
          <w:rFonts w:hint="default" w:ascii="Times New Roman" w:hAnsi="Times New Roman" w:eastAsia="Helvetica" w:cs="Times New Roman"/>
          <w:b/>
          <w:bCs/>
          <w:i w:val="0"/>
          <w:iCs w:val="0"/>
          <w:caps w:val="0"/>
          <w:color w:val="auto"/>
          <w:spacing w:val="0"/>
          <w:sz w:val="19"/>
          <w:szCs w:val="19"/>
          <w:u w:val="none"/>
          <w:shd w:val="clear" w:fill="FFFFFF"/>
          <w:vertAlign w:val="superscript"/>
          <w:lang w:val="en-GB"/>
        </w:rPr>
        <w:t>1</w:t>
      </w:r>
      <w:r>
        <w:rPr>
          <w:rStyle w:val="13"/>
          <w:rFonts w:hint="default" w:ascii="Times New Roman" w:hAnsi="Times New Roman" w:eastAsia="Helvetica" w:cs="Times New Roman"/>
          <w:b/>
          <w:bCs/>
          <w:i w:val="0"/>
          <w:iCs w:val="0"/>
          <w:caps w:val="0"/>
          <w:color w:val="auto"/>
          <w:spacing w:val="0"/>
          <w:sz w:val="19"/>
          <w:szCs w:val="19"/>
          <w:u w:val="none"/>
          <w:shd w:val="clear" w:fill="FFFFFF"/>
          <w:vertAlign w:val="baseline"/>
          <w:lang w:val="en-GB"/>
        </w:rPr>
        <w:t>,</w:t>
      </w:r>
      <w:r>
        <w:rPr>
          <w:rStyle w:val="13"/>
          <w:rFonts w:hint="default" w:ascii="Times New Roman" w:hAnsi="Times New Roman" w:eastAsia="Helvetica" w:cs="Times New Roman"/>
          <w:b/>
          <w:bCs/>
          <w:i w:val="0"/>
          <w:iCs w:val="0"/>
          <w:caps w:val="0"/>
          <w:color w:val="auto"/>
          <w:spacing w:val="0"/>
          <w:sz w:val="19"/>
          <w:szCs w:val="19"/>
          <w:u w:val="none"/>
          <w:shd w:val="clear" w:fill="FFFFFF"/>
          <w:vertAlign w:val="superscript"/>
          <w:lang w:val="en-GB"/>
        </w:rPr>
        <w:t xml:space="preserve">  </w:t>
      </w:r>
      <w:r>
        <w:rPr>
          <w:rStyle w:val="13"/>
          <w:rFonts w:hint="default" w:ascii="Times New Roman" w:hAnsi="Times New Roman" w:eastAsia="Helvetica" w:cs="Times New Roman"/>
          <w:i w:val="0"/>
          <w:iCs w:val="0"/>
          <w:caps w:val="0"/>
          <w:color w:val="auto"/>
          <w:spacing w:val="0"/>
          <w:sz w:val="19"/>
          <w:szCs w:val="19"/>
          <w:u w:val="none"/>
          <w:shd w:val="clear" w:fill="FFFFFF"/>
        </w:rPr>
        <w:t>nawodyaweerakkody@gmail.com</w:t>
      </w:r>
      <w:r>
        <w:rPr>
          <w:rFonts w:hint="default" w:ascii="Times New Roman" w:hAnsi="Times New Roman" w:eastAsia="Helvetica" w:cs="Times New Roman"/>
          <w:i w:val="0"/>
          <w:iCs w:val="0"/>
          <w:caps w:val="0"/>
          <w:color w:val="auto"/>
          <w:spacing w:val="0"/>
          <w:sz w:val="19"/>
          <w:szCs w:val="19"/>
          <w:u w:val="none"/>
          <w:shd w:val="clear" w:fill="FFFFFF"/>
        </w:rPr>
        <w:fldChar w:fldCharType="end"/>
      </w:r>
      <w:r>
        <w:rPr>
          <w:rFonts w:hint="default" w:ascii="Times New Roman" w:hAnsi="Times New Roman" w:eastAsia="Helvetica" w:cs="Times New Roman"/>
          <w:i w:val="0"/>
          <w:iCs w:val="0"/>
          <w:caps w:val="0"/>
          <w:color w:val="auto"/>
          <w:spacing w:val="0"/>
          <w:sz w:val="19"/>
          <w:szCs w:val="19"/>
          <w:u w:val="none"/>
          <w:shd w:val="clear" w:fill="FFFFFF"/>
          <w:lang w:val="en-GB"/>
        </w:rPr>
        <w:t xml:space="preserve"> </w:t>
      </w:r>
    </w:p>
    <w:p>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Times New Roman" w:hAnsi="Times New Roman" w:cs="Times New Roman"/>
        </w:rPr>
      </w:pPr>
      <w:r>
        <w:rPr>
          <w:rFonts w:hint="default" w:ascii="Times New Roman" w:hAnsi="Times New Roman" w:eastAsia="Helvetica" w:cs="Times New Roman"/>
          <w:i w:val="0"/>
          <w:iCs w:val="0"/>
          <w:caps w:val="0"/>
          <w:color w:val="282828"/>
          <w:spacing w:val="0"/>
          <w:sz w:val="19"/>
          <w:szCs w:val="19"/>
          <w:shd w:val="clear" w:fill="FFFFFF"/>
        </w:rPr>
        <w:t>University of Kelaniya</w:t>
      </w:r>
      <w:r>
        <w:rPr>
          <w:rFonts w:hint="default" w:ascii="Times New Roman" w:hAnsi="Times New Roman" w:eastAsia="Helvetica" w:cs="Times New Roman"/>
          <w:i w:val="0"/>
          <w:iCs w:val="0"/>
          <w:caps w:val="0"/>
          <w:color w:val="282828"/>
          <w:spacing w:val="0"/>
          <w:sz w:val="19"/>
          <w:szCs w:val="19"/>
          <w:shd w:val="clear" w:fill="FFFFFF"/>
          <w:lang w:val="en-GB"/>
        </w:rPr>
        <w:t>,</w:t>
      </w:r>
      <w:r>
        <w:rPr>
          <w:rFonts w:hint="default" w:ascii="Times New Roman" w:hAnsi="Times New Roman" w:eastAsia="Helvetica" w:cs="Times New Roman"/>
          <w:i w:val="0"/>
          <w:iCs w:val="0"/>
          <w:caps w:val="0"/>
          <w:color w:val="282828"/>
          <w:spacing w:val="0"/>
          <w:sz w:val="19"/>
          <w:szCs w:val="19"/>
          <w:shd w:val="clear" w:fill="FFFFFF"/>
          <w:vertAlign w:val="superscript"/>
          <w:lang w:val="en-GB"/>
        </w:rPr>
        <w:t>2</w:t>
      </w:r>
      <w:r>
        <w:rPr>
          <w:rFonts w:hint="default" w:ascii="Times New Roman" w:hAnsi="Times New Roman" w:eastAsia="Helvetica" w:cs="Times New Roman"/>
          <w:i w:val="0"/>
          <w:iCs w:val="0"/>
          <w:caps w:val="0"/>
          <w:color w:val="282828"/>
          <w:spacing w:val="0"/>
          <w:sz w:val="19"/>
          <w:szCs w:val="19"/>
          <w:shd w:val="clear" w:fill="FFFFFF"/>
        </w:rPr>
        <w:t>bwanninayake@gmail.com</w:t>
      </w:r>
    </w:p>
    <w:p>
      <w:pPr>
        <w:jc w:val="center"/>
        <w:rPr>
          <w:rFonts w:hint="default" w:ascii="Times New Roman" w:hAnsi="Times New Roman" w:cs="Times New Roman"/>
        </w:rPr>
      </w:pPr>
    </w:p>
    <w:p>
      <w:pPr>
        <w:pStyle w:val="3"/>
        <w:jc w:val="both"/>
        <w:rPr>
          <w:rFonts w:eastAsia="Times New Roman" w:cs="Times New Roman"/>
          <w:sz w:val="24"/>
          <w:szCs w:val="24"/>
        </w:rPr>
      </w:pPr>
      <w:r>
        <w:rPr>
          <w:rFonts w:eastAsia="Times New Roman" w:cs="Times New Roman"/>
          <w:sz w:val="24"/>
          <w:szCs w:val="24"/>
        </w:rPr>
        <w:t xml:space="preserve">Abstract </w:t>
      </w:r>
    </w:p>
    <w:p>
      <w:pPr>
        <w:pStyle w:val="14"/>
        <w:spacing w:line="276" w:lineRule="auto"/>
        <w:jc w:val="both"/>
        <w:rPr>
          <w:color w:val="000000"/>
          <w:sz w:val="22"/>
        </w:rPr>
      </w:pPr>
      <w:r>
        <w:rPr>
          <w:color w:val="000000"/>
          <w:sz w:val="22"/>
        </w:rPr>
        <w:t>The residential Real Estate Market within the Market Economy plays a significant role and has been taken into consideration for the purpose of this study. Consumer behavior and intention lead to demand, which the study has explored to derive enormous benefits. The study of the housing market has become vital since the decision to buy a house is complex and unique beyond goods and services. The data was analyzed using the quantitative technique and utilized 384 respondents as the sample size within the study area chosen, which is Colombo and suburbs. This paper focused on the behavior of middle-income potential buyers within the Real Property market under the selected attributes, for instance, Price, Legal Attributes and Amenities. The main objective of the research was to analyze the impact of these determinants. Data was analyzed using regression. According to the study, attributes including location, legal aspects, and services have a favorable influence on a consumer's purchasing intention whereas price increases have an unfavorable impact. However, the study indicates that affordability, a moderating variable, has a significant impact on consumer purchasing intention.</w:t>
      </w:r>
    </w:p>
    <w:p>
      <w:pPr>
        <w:spacing w:line="360" w:lineRule="auto"/>
        <w:jc w:val="both"/>
        <w:rPr>
          <w:rFonts w:ascii="Times New Roman" w:hAnsi="Times New Roman" w:eastAsia="Times New Roman" w:cs="Times New Roman"/>
          <w:color w:val="000000"/>
        </w:rPr>
      </w:pPr>
      <w:r>
        <w:rPr>
          <w:rFonts w:ascii="Times New Roman" w:hAnsi="Times New Roman" w:eastAsia="Times New Roman" w:cs="Times New Roman"/>
          <w:color w:val="000000"/>
        </w:rPr>
        <w:t>Keywords: Consumer Purchasing Intention, Middle Income Buyers, Residential Real Property, Colombo Sri Lanka.</w:t>
      </w:r>
    </w:p>
    <w:p>
      <w:pPr>
        <w:spacing w:line="360" w:lineRule="auto"/>
        <w:jc w:val="both"/>
        <w:rPr>
          <w:rFonts w:ascii="Times New Roman" w:hAnsi="Times New Roman" w:eastAsia="Times New Roman" w:cs="Times New Roman"/>
          <w:color w:val="000000"/>
        </w:rPr>
      </w:pPr>
      <w:r>
        <w:rPr>
          <w:rFonts w:ascii="Times New Roman" w:hAnsi="Times New Roman" w:eastAsia="Times New Roman" w:cs="Times New Roman"/>
          <w:color w:val="000000"/>
          <w:lang w:bidi="ar-SA"/>
        </w:rPr>
        <mc:AlternateContent>
          <mc:Choice Requires="wps">
            <w:drawing>
              <wp:anchor distT="0" distB="0" distL="114300" distR="114300" simplePos="0" relativeHeight="251665408" behindDoc="0" locked="0" layoutInCell="1" allowOverlap="1">
                <wp:simplePos x="0" y="0"/>
                <wp:positionH relativeFrom="column">
                  <wp:posOffset>-123825</wp:posOffset>
                </wp:positionH>
                <wp:positionV relativeFrom="paragraph">
                  <wp:posOffset>278765</wp:posOffset>
                </wp:positionV>
                <wp:extent cx="5283200" cy="0"/>
                <wp:effectExtent l="0" t="0" r="12700" b="19050"/>
                <wp:wrapNone/>
                <wp:docPr id="16" name="Straight Connector 16"/>
                <wp:cNvGraphicFramePr/>
                <a:graphic xmlns:a="http://schemas.openxmlformats.org/drawingml/2006/main">
                  <a:graphicData uri="http://schemas.microsoft.com/office/word/2010/wordprocessingShape">
                    <wps:wsp>
                      <wps:cNvCnPr/>
                      <wps:spPr>
                        <a:xfrm>
                          <a:off x="0" y="0"/>
                          <a:ext cx="528335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9.75pt;margin-top:21.95pt;height:0pt;width:416pt;z-index:251665408;mso-width-relative:page;mso-height-relative:page;" filled="f" stroked="t" coordsize="21600,21600" o:gfxdata="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lNOBPWAAAACQEAAA8A&#10;AAAAAAAAAQAgAAAAIgAAAGRycy9kb3ducmV2LnhtbFBLAQIUABQAAAAIAIdO4kAhEiuA4AEAANgD&#10;AAAOAAAAAAAAAAEAIAAAACUBAABkcnMvZTJvRG9jLnhtbFBLBQYAAAAABgAGAFkBAAB3BQAAAAA=&#10;">
                <v:fill on="f" focussize="0,0"/>
                <v:stroke color="#000000 [3200]" joinstyle="round"/>
                <v:imagedata o:title=""/>
                <o:lock v:ext="edit" aspectratio="f"/>
              </v:line>
            </w:pict>
          </mc:Fallback>
        </mc:AlternateContent>
      </w:r>
    </w:p>
    <w:p>
      <w:pPr>
        <w:spacing w:line="360" w:lineRule="auto"/>
        <w:rPr>
          <w:rFonts w:ascii="Times New Roman" w:hAnsi="Times New Roman" w:eastAsia="Times New Roman" w:cs="Times New Roman"/>
          <w:color w:val="000000"/>
        </w:rPr>
      </w:pPr>
      <w:r>
        <w:rPr>
          <w:rFonts w:ascii="Times New Roman" w:hAnsi="Times New Roman" w:eastAsia="Times New Roman" w:cs="Times New Roman"/>
          <w:color w:val="000000"/>
          <w:sz w:val="24"/>
          <w:szCs w:val="24"/>
          <w:vertAlign w:val="superscript"/>
        </w:rPr>
        <w:t>1</w:t>
      </w:r>
      <w:r>
        <w:rPr>
          <w:rFonts w:ascii="Times New Roman" w:hAnsi="Times New Roman" w:eastAsia="Times New Roman" w:cs="Times New Roman"/>
          <w:color w:val="000000"/>
        </w:rPr>
        <w:t>. Cardiff Metropolitan University, Cardiff, UK (nawodyaweerakkody@gmail.com)</w:t>
      </w:r>
    </w:p>
    <w:p>
      <w:pPr>
        <w:pStyle w:val="11"/>
        <w:ind w:left="39"/>
        <w:rPr>
          <w:rFonts w:ascii="Times New Roman" w:hAnsi="Times New Roman" w:eastAsia="Times New Roman" w:cs="Times New Roman"/>
          <w:color w:val="000000"/>
        </w:rPr>
      </w:pPr>
      <w:r>
        <w:rPr>
          <w:rFonts w:ascii="Times New Roman" w:hAnsi="Times New Roman" w:eastAsia="Times New Roman" w:cs="Times New Roman"/>
          <w:color w:val="000000"/>
        </w:rPr>
        <w:t>2. Dean, Department of Marketing Management, Faculty of Commerce and Management Studies, University of Kelaniya (bwanninayake@gmail.com)</w:t>
      </w:r>
    </w:p>
    <w:p>
      <w:pPr>
        <w:pStyle w:val="3"/>
        <w:jc w:val="both"/>
        <w:rPr>
          <w:rFonts w:eastAsia="Times New Roman" w:cs="Times New Roman"/>
          <w:sz w:val="24"/>
          <w:szCs w:val="24"/>
        </w:rPr>
      </w:pPr>
      <w:r>
        <w:rPr>
          <w:rFonts w:eastAsia="Times New Roman" w:cs="Times New Roman"/>
          <w:sz w:val="24"/>
          <w:szCs w:val="24"/>
        </w:rPr>
        <w:t xml:space="preserve">Introduction </w:t>
      </w:r>
    </w:p>
    <w:p>
      <w:pPr>
        <w:spacing w:before="20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The knowledge of economic principles derives that demand is always a function of the attributes attached with that effect to the Demand. The Demand together with Supply drives to form the Market Structure.  </w:t>
      </w:r>
      <w:sdt>
        <w:sdtPr>
          <w:rPr>
            <w:rFonts w:ascii="Times New Roman" w:hAnsi="Times New Roman" w:eastAsia="Times New Roman" w:cs="Times New Roman"/>
            <w:color w:val="000000"/>
            <w:sz w:val="24"/>
            <w:szCs w:val="24"/>
          </w:rPr>
          <w:id w:val="609320993"/>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CITATION Alf20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(Marshall, 1920 )</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Since the Real Estate sector also represents their own Market Structure, it also consists with Demand and Supply factors. The study focuses on the Demand side that contains Potential buyers who seek to pay attention to the term value that is attached to the real properties and that can be identified as a measurable concept. The RICS </w:t>
      </w:r>
      <w:sdt>
        <w:sdtPr>
          <w:rPr>
            <w:rFonts w:ascii="Times New Roman" w:hAnsi="Times New Roman" w:eastAsia="Times New Roman" w:cs="Times New Roman"/>
            <w:color w:val="000000"/>
            <w:sz w:val="24"/>
            <w:szCs w:val="24"/>
          </w:rPr>
          <w:id w:val="1565756855"/>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Ell19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(Scott, 2019)</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defines Market Value of a property as “The estimated amount for which an asset or liability should exchange on the valuation date between a willing buyer and a willing seller in an arm’s length transaction, after proper marketing and where the parties had each acted knowledgeably, prudently and without compulsion” The RICS </w:t>
      </w:r>
      <w:sdt>
        <w:sdtPr>
          <w:rPr>
            <w:rFonts w:ascii="Times New Roman" w:hAnsi="Times New Roman" w:eastAsia="Times New Roman" w:cs="Times New Roman"/>
            <w:color w:val="000000"/>
            <w:sz w:val="24"/>
            <w:szCs w:val="24"/>
          </w:rPr>
          <w:id w:val="-1325198269"/>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Ell19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(Scott, 2019)</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defines Market Value as </w:t>
      </w:r>
      <w:r>
        <w:rPr>
          <w:rFonts w:ascii="Times New Roman" w:hAnsi="Times New Roman" w:eastAsia="Times New Roman" w:cs="Times New Roman"/>
          <w:i/>
          <w:iCs/>
          <w:color w:val="000000"/>
          <w:sz w:val="24"/>
          <w:szCs w:val="24"/>
        </w:rPr>
        <w:t>“The estimated amount for which an asset or liability should exchange on the valuation date between a willing buyer and a willing seller in an arm’s length transaction, after proper marketing and where the parties had each acted knowledgeably, prudently and without compulsion”</w:t>
      </w:r>
      <w:r>
        <w:rPr>
          <w:rFonts w:ascii="Times New Roman" w:hAnsi="Times New Roman" w:eastAsia="Times New Roman" w:cs="Times New Roman"/>
          <w:color w:val="000000"/>
          <w:sz w:val="24"/>
          <w:szCs w:val="24"/>
        </w:rPr>
        <w:t xml:space="preserve"> , </w:t>
      </w:r>
      <w:sdt>
        <w:sdtPr>
          <w:rPr>
            <w:rFonts w:ascii="Times New Roman" w:hAnsi="Times New Roman" w:eastAsia="Times New Roman" w:cs="Times New Roman"/>
            <w:color w:val="000000"/>
            <w:sz w:val="24"/>
            <w:szCs w:val="24"/>
          </w:rPr>
          <w:id w:val="1708447500"/>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CITATION Pei77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(Peiris, 1976 - 1977)</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defines Real Property as Land with Everything permanently attached to the land and together with a bundle of rights attached to it. The existing scholarly articles reflect the need for scientific studies on consumer behavior in Real Property Market.</w:t>
      </w:r>
    </w:p>
    <w:p>
      <w:pPr>
        <w:spacing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In the Sri Lankan Context, Colombo is the commercial capital of the country where most of the major commercial, industrial, administrative, and public activities are concentrated. Housing requirements are about 100,000 units per annum also; the development of Colombo Port City changes the Landscape and image of the study area that concentrates more on large-scale developments. This leads to a 200,000 population and 83,000 direct jobs within the area. </w:t>
      </w:r>
      <w:sdt>
        <w:sdtPr>
          <w:rPr>
            <w:rFonts w:ascii="Times New Roman" w:hAnsi="Times New Roman" w:eastAsia="Times New Roman" w:cs="Times New Roman"/>
            <w:color w:val="000000"/>
            <w:sz w:val="24"/>
            <w:szCs w:val="24"/>
          </w:rPr>
          <w:id w:val="498849647"/>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CITATION KPM20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(KPMG, Paradise Island – Luxury living in the tropics, 2018)</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w:t>
      </w:r>
    </w:p>
    <w:p>
      <w:pPr>
        <w:spacing w:before="240" w:after="240" w:line="360" w:lineRule="auto"/>
        <w:jc w:val="both"/>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Sri Lanka’s Real estate has received increased attention over the last few years</w:t>
      </w:r>
      <w:sdt>
        <w:sdtPr>
          <w:rPr>
            <w:rFonts w:ascii="Times New Roman" w:hAnsi="Times New Roman" w:eastAsia="Times New Roman" w:cs="Times New Roman"/>
            <w:color w:val="000000"/>
            <w:sz w:val="24"/>
            <w:szCs w:val="24"/>
          </w:rPr>
          <w:id w:val="-1463876364"/>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CITATION Cen17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 xml:space="preserve"> (Lanka C. B., 2017)</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Improving economic activities in the urban cities of Sri Lanka is posing challenges and opportunities. </w:t>
      </w:r>
      <w:sdt>
        <w:sdtPr>
          <w:rPr>
            <w:rFonts w:ascii="Times New Roman" w:hAnsi="Times New Roman" w:eastAsia="Times New Roman" w:cs="Times New Roman"/>
            <w:color w:val="000000"/>
            <w:sz w:val="24"/>
            <w:szCs w:val="24"/>
          </w:rPr>
          <w:id w:val="821853002"/>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CITATION KPM201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(KPMG, Real Estate, 2020)</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Considering the focused residential sector it can be identified and further divided into several property types for instance Single/Multi storied residential houses, Condominiums, etc. therefore, a significant number of units adding to the market in every year to address the increasing demand for real properties.</w:t>
      </w:r>
    </w:p>
    <w:p>
      <w:pPr>
        <w:spacing w:line="360" w:lineRule="auto"/>
        <w:jc w:val="both"/>
        <w:rPr>
          <w:rFonts w:ascii="Times New Roman" w:hAnsi="Times New Roman" w:eastAsia="Times New Roman" w:cs="Times New Roman"/>
          <w:color w:val="000000"/>
          <w:sz w:val="24"/>
          <w:szCs w:val="24"/>
        </w:rPr>
      </w:pPr>
      <w:sdt>
        <w:sdtPr>
          <w:rPr>
            <w:rFonts w:ascii="Times New Roman" w:hAnsi="Times New Roman" w:eastAsia="Times New Roman" w:cs="Times New Roman"/>
            <w:color w:val="000000"/>
            <w:sz w:val="24"/>
            <w:szCs w:val="24"/>
          </w:rPr>
          <w:id w:val="1387915541"/>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Rat20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(R.M.K.B et al., 2020)</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Stated that there are main attributes and some sub-attributes functioning in the market that affect the buying decision of the potential residential consumers including financial factors , physical factors, environmental factors, social factors and sub factors relate to the each of the above.</w:t>
      </w:r>
    </w:p>
    <w:p>
      <w:pPr>
        <w:spacing w:line="360" w:lineRule="auto"/>
        <w:jc w:val="both"/>
        <w:rPr>
          <w:rFonts w:ascii="Times New Roman" w:hAnsi="Times New Roman" w:eastAsia="Times New Roman" w:cs="Times New Roman"/>
          <w:color w:val="000000"/>
          <w:sz w:val="24"/>
          <w:szCs w:val="24"/>
          <w:shd w:val="clear" w:color="auto" w:fill="FFFFFF"/>
        </w:rPr>
      </w:pPr>
      <w:r>
        <w:rPr>
          <w:rFonts w:ascii="Times New Roman" w:hAnsi="Times New Roman" w:eastAsia="Times New Roman" w:cs="Times New Roman"/>
          <w:color w:val="000000"/>
          <w:sz w:val="24"/>
          <w:szCs w:val="24"/>
        </w:rPr>
        <w:t>The Hedonic Pricing Model also reflects that there is a number of attributes that decomposes the price of Real Estate. However, it can be studied only some selected attributes through single research based on several reasons such as Time Limits, Academic Needs, Budget, Time Frame, etc. therefore more research needs to be executed to fulfill the research gaps and ultimately it leads to address a significant percentage of attributes that affect to the Real Estate Demand.  </w:t>
      </w:r>
      <w:sdt>
        <w:sdtPr>
          <w:rPr>
            <w:rFonts w:ascii="Times New Roman" w:hAnsi="Times New Roman" w:eastAsia="Times New Roman" w:cs="Times New Roman"/>
            <w:color w:val="000000"/>
            <w:sz w:val="24"/>
            <w:szCs w:val="24"/>
          </w:rPr>
          <w:id w:val="-1618832109"/>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CITATION SAN16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(SAN, 2016)</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Stated there are insufficient studies done and the better knowledge has been limited because of the house buying is unique to other goods or services and it derives the necessity of studying the Housing Market. </w:t>
      </w:r>
      <w:sdt>
        <w:sdtPr>
          <w:rPr>
            <w:rFonts w:ascii="Times New Roman" w:hAnsi="Times New Roman" w:eastAsia="Times New Roman" w:cs="Times New Roman"/>
            <w:color w:val="000000"/>
            <w:sz w:val="24"/>
            <w:szCs w:val="24"/>
          </w:rPr>
          <w:id w:val="-599102449"/>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Jos20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(Lee &amp; Ong, Consumers’ choice factors for buying residential property in the Philippines, 2020)</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noted that additional variables can be used to effect the demand. </w:t>
      </w:r>
      <w:r>
        <w:rPr>
          <w:rFonts w:ascii="Times New Roman" w:hAnsi="Times New Roman" w:eastAsia="Times New Roman" w:cs="Times New Roman"/>
          <w:color w:val="000000"/>
          <w:sz w:val="24"/>
          <w:szCs w:val="24"/>
          <w:shd w:val="clear" w:color="auto" w:fill="FFFFFF"/>
        </w:rPr>
        <w:t xml:space="preserve">In addition, housing affordability is a challenge for buyers, </w:t>
      </w:r>
      <w:sdt>
        <w:sdtPr>
          <w:rPr>
            <w:rFonts w:ascii="Times New Roman" w:hAnsi="Times New Roman" w:eastAsia="Times New Roman" w:cs="Times New Roman"/>
            <w:color w:val="000000"/>
            <w:sz w:val="24"/>
            <w:szCs w:val="24"/>
            <w:shd w:val="clear" w:color="auto" w:fill="FFFFFF"/>
          </w:rPr>
          <w:id w:val="1938934061"/>
        </w:sdtPr>
        <w:sdtEndPr>
          <w:rPr>
            <w:rFonts w:ascii="Times New Roman" w:hAnsi="Times New Roman" w:eastAsia="Times New Roman" w:cs="Times New Roman"/>
            <w:color w:val="000000"/>
            <w:sz w:val="24"/>
            <w:szCs w:val="24"/>
            <w:shd w:val="clear" w:color="auto" w:fill="FFFFFF"/>
          </w:rPr>
        </w:sdtEndPr>
        <w:sdtContent>
          <w:r>
            <w:rPr>
              <w:rFonts w:ascii="Times New Roman" w:hAnsi="Times New Roman" w:eastAsia="Times New Roman" w:cs="Times New Roman"/>
              <w:color w:val="000000"/>
              <w:sz w:val="24"/>
              <w:szCs w:val="24"/>
              <w:shd w:val="clear" w:color="auto" w:fill="FFFFFF"/>
            </w:rPr>
            <w:fldChar w:fldCharType="begin"/>
          </w:r>
          <w:r>
            <w:rPr>
              <w:rFonts w:ascii="Times New Roman" w:hAnsi="Times New Roman" w:eastAsia="Times New Roman" w:cs="Times New Roman"/>
              <w:color w:val="000000"/>
              <w:sz w:val="24"/>
              <w:szCs w:val="24"/>
              <w:shd w:val="clear" w:color="auto" w:fill="FFFFFF"/>
            </w:rPr>
            <w:instrText xml:space="preserve">CITATION Ena15 \l 1033 </w:instrText>
          </w:r>
          <w:r>
            <w:rPr>
              <w:rFonts w:ascii="Times New Roman" w:hAnsi="Times New Roman" w:eastAsia="Times New Roman" w:cs="Times New Roman"/>
              <w:color w:val="000000"/>
              <w:sz w:val="24"/>
              <w:szCs w:val="24"/>
              <w:shd w:val="clear" w:color="auto" w:fill="FFFFFF"/>
            </w:rPr>
            <w:fldChar w:fldCharType="separate"/>
          </w:r>
          <w:r>
            <w:rPr>
              <w:rFonts w:ascii="Times New Roman" w:hAnsi="Times New Roman" w:eastAsia="Times New Roman" w:cs="Times New Roman"/>
              <w:color w:val="000000"/>
              <w:sz w:val="24"/>
              <w:szCs w:val="24"/>
              <w:shd w:val="clear" w:color="auto" w:fill="FFFFFF"/>
            </w:rPr>
            <w:t>(Shaqra'a et al., 2015)</w:t>
          </w:r>
          <w:r>
            <w:rPr>
              <w:rFonts w:ascii="Times New Roman" w:hAnsi="Times New Roman" w:eastAsia="Times New Roman" w:cs="Times New Roman"/>
              <w:color w:val="000000"/>
              <w:sz w:val="24"/>
              <w:szCs w:val="24"/>
              <w:shd w:val="clear" w:color="auto" w:fill="FFFFFF"/>
            </w:rPr>
            <w:fldChar w:fldCharType="end"/>
          </w:r>
        </w:sdtContent>
      </w:sdt>
      <w:r>
        <w:rPr>
          <w:rFonts w:ascii="Times New Roman" w:hAnsi="Times New Roman" w:eastAsia="Times New Roman" w:cs="Times New Roman"/>
          <w:color w:val="000000"/>
          <w:sz w:val="24"/>
          <w:szCs w:val="24"/>
          <w:shd w:val="clear" w:color="auto" w:fill="FFFFFF"/>
        </w:rPr>
        <w:t xml:space="preserve"> and in this study; affordability is taken into account as a moderator that affects the overall factors that are taken into consideration.</w:t>
      </w:r>
    </w:p>
    <w:p>
      <w:pPr>
        <w:rPr>
          <w:rFonts w:ascii="Times New Roman" w:hAnsi="Times New Roman" w:eastAsia="Times New Roman" w:cs="Times New Roman"/>
          <w:color w:val="000000"/>
          <w:sz w:val="24"/>
          <w:szCs w:val="24"/>
          <w:shd w:val="clear" w:color="auto" w:fill="FFFFFF"/>
        </w:rPr>
      </w:pPr>
      <w:r>
        <w:rPr>
          <w:rFonts w:ascii="Times New Roman" w:hAnsi="Times New Roman" w:eastAsia="Times New Roman" w:cs="Times New Roman"/>
          <w:color w:val="000000"/>
          <w:sz w:val="24"/>
          <w:szCs w:val="24"/>
          <w:shd w:val="clear" w:color="auto" w:fill="FFFFFF"/>
        </w:rPr>
        <w:br w:type="page"/>
      </w:r>
    </w:p>
    <w:p>
      <w:pPr>
        <w:pStyle w:val="3"/>
        <w:jc w:val="both"/>
        <w:rPr>
          <w:rFonts w:eastAsia="Times New Roman" w:cs="Times New Roman"/>
          <w:sz w:val="24"/>
          <w:szCs w:val="24"/>
        </w:rPr>
      </w:pPr>
      <w:r>
        <w:rPr>
          <w:rFonts w:eastAsia="Times New Roman" w:cs="Times New Roman"/>
          <w:sz w:val="24"/>
          <w:szCs w:val="24"/>
        </w:rPr>
        <w:t xml:space="preserve">Literature Review </w:t>
      </w:r>
    </w:p>
    <w:p>
      <w:pPr>
        <w:spacing w:before="20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Since the Market termed as the interaction between both buyers and sellers, the condition of the Property Market is also similar. </w:t>
      </w:r>
      <w:r>
        <w:rPr>
          <w:rFonts w:ascii="Times New Roman" w:hAnsi="Times New Roman" w:cs="Times New Roman"/>
          <w:sz w:val="24"/>
          <w:szCs w:val="24"/>
        </w:rPr>
        <w:t>As far as the discussion concerns, the Asian Development Bank (</w:t>
      </w:r>
      <w:r>
        <w:fldChar w:fldCharType="begin"/>
      </w:r>
      <w:r>
        <w:instrText xml:space="preserve"> HYPERLINK "http://www.adb.org" </w:instrText>
      </w:r>
      <w:r>
        <w:fldChar w:fldCharType="separate"/>
      </w:r>
      <w:r>
        <w:rPr>
          <w:rStyle w:val="13"/>
          <w:rFonts w:ascii="Times New Roman" w:hAnsi="Times New Roman" w:cs="Times New Roman"/>
          <w:sz w:val="24"/>
          <w:szCs w:val="24"/>
        </w:rPr>
        <w:t>www.adb.org</w:t>
      </w:r>
      <w:r>
        <w:rPr>
          <w:rStyle w:val="13"/>
          <w:rFonts w:ascii="Times New Roman" w:hAnsi="Times New Roman" w:cs="Times New Roman"/>
          <w:sz w:val="24"/>
          <w:szCs w:val="24"/>
        </w:rPr>
        <w:fldChar w:fldCharType="end"/>
      </w:r>
      <w:r>
        <w:rPr>
          <w:rFonts w:ascii="Times New Roman" w:hAnsi="Times New Roman" w:cs="Times New Roman"/>
          <w:sz w:val="24"/>
          <w:szCs w:val="24"/>
        </w:rPr>
        <w:t>) depicts income level categorization as per the following table.</w:t>
      </w:r>
    </w:p>
    <w:p>
      <w:pPr>
        <w:pStyle w:val="8"/>
        <w:keepNext/>
        <w:rPr>
          <w:rFonts w:ascii="Times New Roman" w:hAnsi="Times New Roman" w:cs="Times New Roman"/>
          <w:color w:val="auto"/>
          <w:sz w:val="24"/>
          <w:szCs w:val="24"/>
        </w:rPr>
      </w:pPr>
      <w:r>
        <w:rPr>
          <w:rFonts w:ascii="Times New Roman" w:hAnsi="Times New Roman" w:cs="Times New Roman"/>
          <w:color w:val="auto"/>
          <w:sz w:val="24"/>
          <w:szCs w:val="24"/>
        </w:rPr>
        <w:t xml:space="preserve">Table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1</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Sri Lankan Middle class categorization</w:t>
      </w:r>
    </w:p>
    <w:tbl>
      <w:tblPr>
        <w:tblStyle w:val="6"/>
        <w:tblW w:w="6851" w:type="dxa"/>
        <w:jc w:val="center"/>
        <w:tblLayout w:type="autofit"/>
        <w:tblCellMar>
          <w:top w:w="15" w:type="dxa"/>
          <w:left w:w="15" w:type="dxa"/>
          <w:bottom w:w="15" w:type="dxa"/>
          <w:right w:w="15" w:type="dxa"/>
        </w:tblCellMar>
      </w:tblPr>
      <w:tblGrid>
        <w:gridCol w:w="3254"/>
        <w:gridCol w:w="3597"/>
      </w:tblGrid>
      <w:tr>
        <w:tblPrEx>
          <w:tblCellMar>
            <w:top w:w="15" w:type="dxa"/>
            <w:left w:w="15" w:type="dxa"/>
            <w:bottom w:w="15" w:type="dxa"/>
            <w:right w:w="15" w:type="dxa"/>
          </w:tblCellMar>
        </w:tblPrEx>
        <w:trPr>
          <w:trHeight w:val="347" w:hRule="atLeast"/>
          <w:jc w:val="center"/>
        </w:trPr>
        <w:tc>
          <w:tcPr>
            <w:tcW w:w="3254" w:type="dxa"/>
            <w:tcBorders>
              <w:top w:val="double" w:color="auto" w:sz="4"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360" w:lineRule="auto"/>
              <w:jc w:val="center"/>
              <w:rPr>
                <w:rFonts w:ascii="Times New Roman" w:hAnsi="Times New Roman" w:eastAsia="Times New Roman" w:cs="Times New Roman"/>
                <w:b/>
                <w:szCs w:val="24"/>
              </w:rPr>
            </w:pPr>
            <w:r>
              <w:rPr>
                <w:rFonts w:ascii="Times New Roman" w:hAnsi="Times New Roman" w:eastAsia="Times New Roman" w:cs="Times New Roman"/>
                <w:b/>
                <w:color w:val="000000"/>
                <w:szCs w:val="24"/>
              </w:rPr>
              <w:t>Class Category</w:t>
            </w:r>
          </w:p>
        </w:tc>
        <w:tc>
          <w:tcPr>
            <w:tcW w:w="3597" w:type="dxa"/>
            <w:tcBorders>
              <w:top w:val="double" w:color="auto" w:sz="4"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360" w:lineRule="auto"/>
              <w:jc w:val="center"/>
              <w:rPr>
                <w:rFonts w:ascii="Times New Roman" w:hAnsi="Times New Roman" w:eastAsia="Times New Roman" w:cs="Times New Roman"/>
                <w:b/>
                <w:szCs w:val="24"/>
              </w:rPr>
            </w:pPr>
            <w:r>
              <w:rPr>
                <w:rFonts w:ascii="Times New Roman" w:hAnsi="Times New Roman" w:eastAsia="Times New Roman" w:cs="Times New Roman"/>
                <w:b/>
                <w:color w:val="000000"/>
                <w:szCs w:val="24"/>
              </w:rPr>
              <w:t>Spending Behaviour</w:t>
            </w:r>
          </w:p>
        </w:tc>
      </w:tr>
      <w:tr>
        <w:tblPrEx>
          <w:tblCellMar>
            <w:top w:w="15" w:type="dxa"/>
            <w:left w:w="15" w:type="dxa"/>
            <w:bottom w:w="15" w:type="dxa"/>
            <w:right w:w="15" w:type="dxa"/>
          </w:tblCellMar>
        </w:tblPrEx>
        <w:trPr>
          <w:trHeight w:val="194" w:hRule="atLeast"/>
          <w:jc w:val="center"/>
        </w:trPr>
        <w:tc>
          <w:tcPr>
            <w:tcW w:w="3254" w:type="dxa"/>
            <w:tcBorders>
              <w:top w:val="double" w:color="auto" w:sz="4"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360" w:lineRule="auto"/>
              <w:jc w:val="center"/>
              <w:rPr>
                <w:rFonts w:ascii="Times New Roman" w:hAnsi="Times New Roman" w:eastAsia="Times New Roman" w:cs="Times New Roman"/>
                <w:szCs w:val="24"/>
              </w:rPr>
            </w:pPr>
            <w:r>
              <w:rPr>
                <w:rFonts w:ascii="Times New Roman" w:hAnsi="Times New Roman" w:eastAsia="Times New Roman" w:cs="Times New Roman"/>
                <w:color w:val="000000"/>
                <w:szCs w:val="24"/>
              </w:rPr>
              <w:t>Poor Class</w:t>
            </w:r>
          </w:p>
        </w:tc>
        <w:tc>
          <w:tcPr>
            <w:tcW w:w="3597" w:type="dxa"/>
            <w:tcBorders>
              <w:top w:val="double" w:color="auto" w:sz="4"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360" w:lineRule="auto"/>
              <w:jc w:val="center"/>
              <w:rPr>
                <w:rFonts w:ascii="Times New Roman" w:hAnsi="Times New Roman" w:eastAsia="Times New Roman" w:cs="Times New Roman"/>
                <w:szCs w:val="24"/>
              </w:rPr>
            </w:pPr>
            <w:r>
              <w:rPr>
                <w:rFonts w:ascii="Times New Roman" w:hAnsi="Times New Roman" w:eastAsia="Times New Roman" w:cs="Times New Roman"/>
                <w:color w:val="000000"/>
                <w:szCs w:val="24"/>
              </w:rPr>
              <w:t>Less than 2$ per day</w:t>
            </w:r>
          </w:p>
        </w:tc>
      </w:tr>
      <w:tr>
        <w:tblPrEx>
          <w:tblCellMar>
            <w:top w:w="15" w:type="dxa"/>
            <w:left w:w="15" w:type="dxa"/>
            <w:bottom w:w="15" w:type="dxa"/>
            <w:right w:w="15" w:type="dxa"/>
          </w:tblCellMar>
        </w:tblPrEx>
        <w:trPr>
          <w:trHeight w:val="20" w:hRule="atLeast"/>
          <w:jc w:val="center"/>
        </w:trPr>
        <w:tc>
          <w:tcPr>
            <w:tcW w:w="3254"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360" w:lineRule="auto"/>
              <w:jc w:val="center"/>
              <w:rPr>
                <w:rFonts w:ascii="Times New Roman" w:hAnsi="Times New Roman" w:eastAsia="Times New Roman" w:cs="Times New Roman"/>
                <w:szCs w:val="24"/>
              </w:rPr>
            </w:pPr>
            <w:r>
              <w:rPr>
                <w:rFonts w:ascii="Times New Roman" w:hAnsi="Times New Roman" w:eastAsia="Times New Roman" w:cs="Times New Roman"/>
                <w:color w:val="000000"/>
                <w:szCs w:val="24"/>
              </w:rPr>
              <w:t>Local Middle Class</w:t>
            </w:r>
          </w:p>
        </w:tc>
        <w:tc>
          <w:tcPr>
            <w:tcW w:w="3597"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360" w:lineRule="auto"/>
              <w:jc w:val="center"/>
              <w:rPr>
                <w:rFonts w:ascii="Times New Roman" w:hAnsi="Times New Roman" w:eastAsia="Times New Roman" w:cs="Times New Roman"/>
                <w:szCs w:val="24"/>
              </w:rPr>
            </w:pPr>
            <w:r>
              <w:rPr>
                <w:rFonts w:ascii="Times New Roman" w:hAnsi="Times New Roman" w:eastAsia="Times New Roman" w:cs="Times New Roman"/>
                <w:color w:val="000000"/>
                <w:szCs w:val="24"/>
              </w:rPr>
              <w:t>Less than 2$-10$ per day</w:t>
            </w:r>
          </w:p>
        </w:tc>
      </w:tr>
      <w:tr>
        <w:tblPrEx>
          <w:tblCellMar>
            <w:top w:w="15" w:type="dxa"/>
            <w:left w:w="15" w:type="dxa"/>
            <w:bottom w:w="15" w:type="dxa"/>
            <w:right w:w="15" w:type="dxa"/>
          </w:tblCellMar>
        </w:tblPrEx>
        <w:trPr>
          <w:trHeight w:val="20" w:hRule="atLeast"/>
          <w:jc w:val="center"/>
        </w:trPr>
        <w:tc>
          <w:tcPr>
            <w:tcW w:w="3254"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360" w:lineRule="auto"/>
              <w:jc w:val="center"/>
              <w:rPr>
                <w:rFonts w:ascii="Times New Roman" w:hAnsi="Times New Roman" w:eastAsia="Times New Roman" w:cs="Times New Roman"/>
                <w:szCs w:val="24"/>
              </w:rPr>
            </w:pPr>
            <w:r>
              <w:rPr>
                <w:rFonts w:ascii="Times New Roman" w:hAnsi="Times New Roman" w:eastAsia="Times New Roman" w:cs="Times New Roman"/>
                <w:color w:val="000000"/>
                <w:szCs w:val="24"/>
              </w:rPr>
              <w:t>Global Middle Class</w:t>
            </w:r>
          </w:p>
        </w:tc>
        <w:tc>
          <w:tcPr>
            <w:tcW w:w="3597"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360" w:lineRule="auto"/>
              <w:jc w:val="center"/>
              <w:rPr>
                <w:rFonts w:ascii="Times New Roman" w:hAnsi="Times New Roman" w:eastAsia="Times New Roman" w:cs="Times New Roman"/>
                <w:szCs w:val="24"/>
              </w:rPr>
            </w:pPr>
            <w:r>
              <w:rPr>
                <w:rFonts w:ascii="Times New Roman" w:hAnsi="Times New Roman" w:eastAsia="Times New Roman" w:cs="Times New Roman"/>
                <w:color w:val="000000"/>
                <w:szCs w:val="24"/>
              </w:rPr>
              <w:t>Less than 10$-100$ per day</w:t>
            </w:r>
          </w:p>
        </w:tc>
      </w:tr>
      <w:tr>
        <w:tblPrEx>
          <w:tblCellMar>
            <w:top w:w="15" w:type="dxa"/>
            <w:left w:w="15" w:type="dxa"/>
            <w:bottom w:w="15" w:type="dxa"/>
            <w:right w:w="15" w:type="dxa"/>
          </w:tblCellMar>
        </w:tblPrEx>
        <w:trPr>
          <w:trHeight w:val="105" w:hRule="atLeast"/>
          <w:jc w:val="center"/>
        </w:trPr>
        <w:tc>
          <w:tcPr>
            <w:tcW w:w="3254" w:type="dxa"/>
            <w:tcBorders>
              <w:top w:val="single" w:color="000000" w:sz="8"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360" w:lineRule="auto"/>
              <w:jc w:val="center"/>
              <w:rPr>
                <w:rFonts w:ascii="Times New Roman" w:hAnsi="Times New Roman" w:eastAsia="Times New Roman" w:cs="Times New Roman"/>
                <w:szCs w:val="24"/>
              </w:rPr>
            </w:pPr>
            <w:r>
              <w:rPr>
                <w:rFonts w:ascii="Times New Roman" w:hAnsi="Times New Roman" w:eastAsia="Times New Roman" w:cs="Times New Roman"/>
                <w:color w:val="000000"/>
                <w:szCs w:val="24"/>
              </w:rPr>
              <w:t>Rich</w:t>
            </w:r>
          </w:p>
        </w:tc>
        <w:tc>
          <w:tcPr>
            <w:tcW w:w="3597" w:type="dxa"/>
            <w:tcBorders>
              <w:top w:val="single" w:color="000000" w:sz="8"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keepNext/>
              <w:spacing w:after="0" w:line="360" w:lineRule="auto"/>
              <w:jc w:val="center"/>
              <w:rPr>
                <w:rFonts w:ascii="Times New Roman" w:hAnsi="Times New Roman" w:eastAsia="Times New Roman" w:cs="Times New Roman"/>
                <w:szCs w:val="24"/>
              </w:rPr>
            </w:pPr>
            <w:r>
              <w:rPr>
                <w:rFonts w:ascii="Times New Roman" w:hAnsi="Times New Roman" w:eastAsia="Times New Roman" w:cs="Times New Roman"/>
                <w:color w:val="000000"/>
                <w:szCs w:val="24"/>
              </w:rPr>
              <w:t>More than 100$ per day</w:t>
            </w:r>
          </w:p>
        </w:tc>
      </w:tr>
    </w:tbl>
    <w:p>
      <w:pPr>
        <w:spacing w:line="360" w:lineRule="auto"/>
        <w:jc w:val="both"/>
        <w:rPr>
          <w:rFonts w:ascii="Times New Roman" w:hAnsi="Times New Roman" w:cs="Times New Roman"/>
          <w:sz w:val="2"/>
          <w:szCs w:val="24"/>
        </w:rPr>
      </w:pPr>
    </w:p>
    <w:p>
      <w:pPr>
        <w:spacing w:before="200"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Regarding the price of Real Estate can be categorized as a price combination of the attributes related to Real Estate. According to Hedonic Pricing: Definition, </w:t>
      </w:r>
      <w:sdt>
        <w:sdtPr>
          <w:rPr>
            <w:rFonts w:ascii="Times New Roman" w:hAnsi="Times New Roman" w:cs="Times New Roman"/>
            <w:sz w:val="24"/>
            <w:szCs w:val="24"/>
          </w:rPr>
          <w:id w:val="-2018996723"/>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MAR21 \l 1033 </w:instrText>
          </w:r>
          <w:r>
            <w:rPr>
              <w:rFonts w:ascii="Times New Roman" w:hAnsi="Times New Roman" w:cs="Times New Roman"/>
              <w:sz w:val="24"/>
              <w:szCs w:val="24"/>
            </w:rPr>
            <w:fldChar w:fldCharType="separate"/>
          </w:r>
          <w:r>
            <w:rPr>
              <w:rFonts w:ascii="Times New Roman" w:hAnsi="Times New Roman" w:cs="Times New Roman"/>
              <w:sz w:val="24"/>
              <w:szCs w:val="24"/>
            </w:rPr>
            <w:t>(HARGRAVE &amp; BROCK, 2021)</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the price is determined by both internal and external characteristics that affect the goods sold within the market. </w:t>
      </w:r>
    </w:p>
    <w:p>
      <w:pPr>
        <w:spacing w:before="240"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shd w:val="clear" w:color="auto" w:fill="FFFFFF"/>
        </w:rPr>
        <w:t xml:space="preserve">The Theory of Planning Behavior, a psychological theory developed </w:t>
      </w:r>
      <w:r>
        <w:rPr>
          <w:rFonts w:ascii="Times New Roman" w:hAnsi="Times New Roman" w:eastAsia="Times New Roman" w:cs="Times New Roman"/>
          <w:color w:val="000000"/>
          <w:sz w:val="24"/>
          <w:szCs w:val="24"/>
        </w:rPr>
        <w:t xml:space="preserve">by ICEK AJZEN </w:t>
      </w:r>
      <w:sdt>
        <w:sdtPr>
          <w:rPr>
            <w:rFonts w:ascii="Times New Roman" w:hAnsi="Times New Roman" w:eastAsia="Times New Roman" w:cs="Times New Roman"/>
            <w:color w:val="000000"/>
            <w:sz w:val="24"/>
            <w:szCs w:val="24"/>
          </w:rPr>
          <w:id w:val="-614287220"/>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CITATION AJZ91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(AJZEN, 1991)</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shd w:val="clear" w:color="auto" w:fill="FFFFFF"/>
        </w:rPr>
        <w:t xml:space="preserve">, explains how an individual's behavioral intentions are driven by three key factors such as subjective norms, attitudes toward behavior, and perceived behavioral control. The theory was proposed initially by Martin Fishbein and Ajzen </w:t>
      </w:r>
      <w:sdt>
        <w:sdtPr>
          <w:rPr>
            <w:rFonts w:ascii="Times New Roman" w:hAnsi="Times New Roman" w:eastAsia="Times New Roman" w:cs="Times New Roman"/>
            <w:color w:val="000000"/>
            <w:sz w:val="24"/>
            <w:szCs w:val="24"/>
            <w:shd w:val="clear" w:color="auto" w:fill="FFFFFF"/>
          </w:rPr>
          <w:id w:val="621965971"/>
        </w:sdtPr>
        <w:sdtEndPr>
          <w:rPr>
            <w:rFonts w:ascii="Times New Roman" w:hAnsi="Times New Roman" w:eastAsia="Times New Roman" w:cs="Times New Roman"/>
            <w:color w:val="000000"/>
            <w:sz w:val="24"/>
            <w:szCs w:val="24"/>
            <w:shd w:val="clear" w:color="auto" w:fill="FFFFFF"/>
          </w:rPr>
        </w:sdtEndPr>
        <w:sdtContent>
          <w:r>
            <w:rPr>
              <w:rFonts w:ascii="Times New Roman" w:hAnsi="Times New Roman" w:eastAsia="Times New Roman" w:cs="Times New Roman"/>
              <w:color w:val="000000"/>
              <w:sz w:val="24"/>
              <w:szCs w:val="24"/>
              <w:shd w:val="clear" w:color="auto" w:fill="FFFFFF"/>
            </w:rPr>
            <w:fldChar w:fldCharType="begin"/>
          </w:r>
          <w:r>
            <w:rPr>
              <w:rFonts w:ascii="Times New Roman" w:hAnsi="Times New Roman" w:eastAsia="Times New Roman" w:cs="Times New Roman"/>
              <w:color w:val="000000"/>
              <w:sz w:val="24"/>
              <w:szCs w:val="24"/>
              <w:shd w:val="clear" w:color="auto" w:fill="FFFFFF"/>
            </w:rPr>
            <w:instrText xml:space="preserve"> CITATION AJZ91 \l 1033 </w:instrText>
          </w:r>
          <w:r>
            <w:rPr>
              <w:rFonts w:ascii="Times New Roman" w:hAnsi="Times New Roman" w:eastAsia="Times New Roman" w:cs="Times New Roman"/>
              <w:color w:val="000000"/>
              <w:sz w:val="24"/>
              <w:szCs w:val="24"/>
              <w:shd w:val="clear" w:color="auto" w:fill="FFFFFF"/>
            </w:rPr>
            <w:fldChar w:fldCharType="separate"/>
          </w:r>
          <w:r>
            <w:rPr>
              <w:rFonts w:ascii="Times New Roman" w:hAnsi="Times New Roman" w:eastAsia="Times New Roman" w:cs="Times New Roman"/>
              <w:color w:val="000000"/>
              <w:sz w:val="24"/>
              <w:szCs w:val="24"/>
              <w:shd w:val="clear" w:color="auto" w:fill="FFFFFF"/>
            </w:rPr>
            <w:t>(AJZEN, 1991)</w:t>
          </w:r>
          <w:r>
            <w:rPr>
              <w:rFonts w:ascii="Times New Roman" w:hAnsi="Times New Roman" w:eastAsia="Times New Roman" w:cs="Times New Roman"/>
              <w:color w:val="000000"/>
              <w:sz w:val="24"/>
              <w:szCs w:val="24"/>
              <w:shd w:val="clear" w:color="auto" w:fill="FFFFFF"/>
            </w:rPr>
            <w:fldChar w:fldCharType="end"/>
          </w:r>
        </w:sdtContent>
      </w:sdt>
      <w:r>
        <w:rPr>
          <w:rFonts w:ascii="Times New Roman" w:hAnsi="Times New Roman" w:eastAsia="Times New Roman" w:cs="Times New Roman"/>
          <w:color w:val="000000"/>
          <w:sz w:val="24"/>
          <w:szCs w:val="24"/>
          <w:shd w:val="clear" w:color="auto" w:fill="FFFFFF"/>
        </w:rPr>
        <w:t xml:space="preserve"> in 1980 and this theory evolved from the theory of reasoned action. The latter can be explained as if an individual evaluates a suggested behavior as positive (</w:t>
      </w:r>
      <w:r>
        <w:rPr>
          <w:rFonts w:ascii="Times New Roman" w:hAnsi="Times New Roman" w:eastAsia="Times New Roman" w:cs="Times New Roman"/>
          <w:sz w:val="24"/>
          <w:szCs w:val="24"/>
          <w:shd w:val="clear" w:color="auto" w:fill="FFFFFF"/>
        </w:rPr>
        <w:t xml:space="preserve">attitude) and if </w:t>
      </w:r>
      <w:r>
        <w:rPr>
          <w:rFonts w:ascii="Times New Roman" w:hAnsi="Times New Roman" w:eastAsia="Times New Roman" w:cs="Times New Roman"/>
          <w:color w:val="000000"/>
          <w:sz w:val="24"/>
          <w:szCs w:val="24"/>
          <w:shd w:val="clear" w:color="auto" w:fill="FFFFFF"/>
        </w:rPr>
        <w:t xml:space="preserve">he or she believes significant others want the person to perform the behavior (subjective norm), the intention (motivation) to perform the behavior will be greater and the individual will be more likely to perform the behavior. </w:t>
      </w:r>
      <w:r>
        <w:rPr>
          <w:rFonts w:ascii="Times New Roman" w:hAnsi="Times New Roman" w:eastAsia="Times New Roman" w:cs="Times New Roman"/>
          <w:color w:val="000000"/>
          <w:sz w:val="24"/>
          <w:szCs w:val="24"/>
        </w:rPr>
        <w:t>In addition to that (Shapiro Wilson Book)</w:t>
      </w:r>
      <w:sdt>
        <w:sdtPr>
          <w:rPr>
            <w:rFonts w:ascii="Times New Roman" w:hAnsi="Times New Roman" w:eastAsia="Times New Roman" w:cs="Times New Roman"/>
            <w:color w:val="000000"/>
            <w:sz w:val="24"/>
            <w:szCs w:val="24"/>
          </w:rPr>
          <w:id w:val="-379247560"/>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Car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 xml:space="preserve"> (Shapiro &amp; Varian)</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Market ranges Local, National, International surfaces including subsectors as Residential, Agricultural, Commercial, and Industrial. The study focused on the Residential Market among these Markets</w:t>
      </w:r>
      <w:r>
        <w:rPr>
          <w:rFonts w:ascii="Times New Roman" w:hAnsi="Times New Roman" w:cs="Times New Roman"/>
          <w:sz w:val="24"/>
          <w:szCs w:val="24"/>
        </w:rPr>
        <w:t>. Generally, supply of landed properties is inelastic because of the construction projects take some considerable period of time to complete the task.</w:t>
      </w:r>
      <w:sdt>
        <w:sdtPr>
          <w:rPr>
            <w:rFonts w:ascii="Times New Roman" w:hAnsi="Times New Roman" w:cs="Times New Roman"/>
            <w:sz w:val="24"/>
            <w:szCs w:val="24"/>
          </w:rPr>
          <w:id w:val="1734115010"/>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Rat20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(R.M.K.B et al., 2020)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Identified four main factors including financial factor that attached to price of the house, physical factors including Goodness or modernism of the structure of the house and Sufficiency of the space / Room facilities, Environmental factors including quality and supply of water, Social factors including new marriages. </w:t>
      </w:r>
      <w:sdt>
        <w:sdtPr>
          <w:rPr>
            <w:rFonts w:ascii="Times New Roman" w:hAnsi="Times New Roman" w:cs="Times New Roman"/>
            <w:sz w:val="24"/>
            <w:szCs w:val="24"/>
          </w:rPr>
          <w:id w:val="173002115"/>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SAN16 \l 1033 </w:instrText>
          </w:r>
          <w:r>
            <w:rPr>
              <w:rFonts w:ascii="Times New Roman" w:hAnsi="Times New Roman" w:cs="Times New Roman"/>
              <w:sz w:val="24"/>
              <w:szCs w:val="24"/>
            </w:rPr>
            <w:fldChar w:fldCharType="separate"/>
          </w:r>
          <w:r>
            <w:rPr>
              <w:rFonts w:ascii="Times New Roman" w:hAnsi="Times New Roman" w:cs="Times New Roman"/>
              <w:sz w:val="24"/>
              <w:szCs w:val="24"/>
            </w:rPr>
            <w:t>(SAN, 2016)</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Investigation reflects that Property View, Property surroundings, and property attributes affect the Home Buyers' purchase decision. </w:t>
      </w:r>
      <w:r>
        <w:rPr>
          <w:rFonts w:ascii="Times New Roman" w:hAnsi="Times New Roman" w:eastAsia="Times New Roman" w:cs="Times New Roman"/>
          <w:color w:val="000000"/>
          <w:sz w:val="24"/>
          <w:szCs w:val="24"/>
        </w:rPr>
        <w:t xml:space="preserve">The implications including practical and managerial implications for marketing and public policy are majorly related to segmentation, targeting, and positioning strategies and in particular to what types of messages were built to persuade people to buy a residential property in Setia Alam. The Saudi Arabian study, “Behavioral Factors Affecting Real Estate Purchasing” </w:t>
      </w:r>
      <w:sdt>
        <w:sdtPr>
          <w:rPr>
            <w:rFonts w:ascii="Times New Roman" w:hAnsi="Times New Roman" w:eastAsia="Times New Roman" w:cs="Times New Roman"/>
            <w:color w:val="000000"/>
            <w:sz w:val="24"/>
            <w:szCs w:val="24"/>
          </w:rPr>
          <w:id w:val="-2011284795"/>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Taw151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(Al-Nahdi et al., Behavioral Factors Affecting Real Estate Purchasing, 2015)</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focused on behavioral science theories related to real estate marketing and analyze variables include Attitude, Location Factor, Living space, Public service, Reference groups, friends’ influence, other reference groups, and Intention. The Philippine study on consumers’ choice factors for buying residential property </w:t>
      </w:r>
      <w:sdt>
        <w:sdtPr>
          <w:rPr>
            <w:rFonts w:ascii="Times New Roman" w:hAnsi="Times New Roman" w:eastAsia="Times New Roman" w:cs="Times New Roman"/>
            <w:color w:val="000000"/>
            <w:sz w:val="24"/>
            <w:szCs w:val="24"/>
          </w:rPr>
          <w:id w:val="2119714774"/>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Jos201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(Lee &amp; Ong, Consumers’ choice factors for buying residential property in the Philippines, 2020)</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has identified their potential residential property buyers’ demographic profile as same as the former research that has identified the respondents’ characteristics. Also know the level of importance of the consumers’ choice in terms of price, location, safety and security, facilities and amenities, and exclusivity. A Malaysian study of the impact of buyers’ demography on property purchasing discussed that developers implement some strategies for marketing their products </w:t>
      </w:r>
      <w:sdt>
        <w:sdtPr>
          <w:rPr>
            <w:rFonts w:ascii="Times New Roman" w:hAnsi="Times New Roman" w:eastAsia="Times New Roman" w:cs="Times New Roman"/>
            <w:color w:val="000000"/>
            <w:sz w:val="24"/>
            <w:szCs w:val="24"/>
          </w:rPr>
          <w:id w:val="1137770651"/>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Roh12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(Majid et al., The Impact Of Buyers’ Demography On Property Purchasing, 2012)</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The major criterion concerned here is the respondent’s demography which plays a major role as a subject to varying Real Estate demand. The </w:t>
      </w:r>
      <w:sdt>
        <w:sdtPr>
          <w:rPr>
            <w:rFonts w:ascii="Times New Roman" w:hAnsi="Times New Roman" w:eastAsia="Times New Roman" w:cs="Times New Roman"/>
            <w:color w:val="000000"/>
            <w:sz w:val="24"/>
            <w:szCs w:val="24"/>
          </w:rPr>
          <w:id w:val="395937616"/>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Yog18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(Kumar &amp; Khandelwal, 2018)</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identified wide range of variables including 18 such as Location, Proximity to amenities, Appearance, Interior, Well built, Locality, Ventilation, Price range, Availability of loan, Accessible garage, Fire resistance, Power supply, Water supply, Maintenance cost, Developer’s reputation, Vastu compliance, House number, View from the house. Life Cycle and Environmental Factors in Selecting Residential and Job Locations </w:t>
      </w:r>
      <w:sdt>
        <w:sdtPr>
          <w:rPr>
            <w:rFonts w:ascii="Times New Roman" w:hAnsi="Times New Roman" w:eastAsia="Times New Roman" w:cs="Times New Roman"/>
            <w:color w:val="000000"/>
            <w:sz w:val="24"/>
            <w:szCs w:val="24"/>
          </w:rPr>
          <w:id w:val="1827395224"/>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TAE05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(KIM et al., 2005)</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identify access to job centers drives people for their settlements. However, these choices are affected by people’s life cycles. When children are present, buyers’ intentions change as they are looking for the trade-off between the qualities of the natural environment with the job accessibility. According to the </w:t>
      </w:r>
      <w:sdt>
        <w:sdtPr>
          <w:rPr>
            <w:rFonts w:ascii="Times New Roman" w:hAnsi="Times New Roman" w:eastAsia="Times New Roman" w:cs="Times New Roman"/>
            <w:color w:val="000000"/>
            <w:sz w:val="24"/>
            <w:szCs w:val="24"/>
          </w:rPr>
          <w:id w:val="-1123533663"/>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CITATION roc22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(rocketmortgage, 2022)</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generally, some key legal factors including Mortgage Approval, Title, Deed, and documentation need to be identified before finalized the purchase decision. </w:t>
      </w:r>
      <w:sdt>
        <w:sdtPr>
          <w:rPr>
            <w:rFonts w:ascii="Times New Roman" w:hAnsi="Times New Roman" w:eastAsia="Times New Roman" w:cs="Times New Roman"/>
            <w:color w:val="000000"/>
            <w:sz w:val="24"/>
            <w:szCs w:val="24"/>
          </w:rPr>
          <w:id w:val="1660806806"/>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Nis21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(Wickramaarachchi et al., 2021)</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Identified some factors reduce the time spent on marketing for instance, better environment, proximity to the city center, and proper shape of the land. The study investigates purchasing intention as a dependent variable. According to the </w:t>
      </w:r>
      <w:sdt>
        <w:sdtPr>
          <w:rPr>
            <w:rFonts w:ascii="Times New Roman" w:hAnsi="Times New Roman" w:eastAsia="Times New Roman" w:cs="Times New Roman"/>
            <w:color w:val="000000"/>
            <w:sz w:val="24"/>
            <w:szCs w:val="24"/>
          </w:rPr>
          <w:id w:val="1542168226"/>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Jin10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(Jin-Soo Lee et al., 2010)</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an investigation of customers’ decision in property: Developing an extended model of the theory of planned behavior. The intention has been defined as “an indication of a person's willingness to perform the behavior, and it is an immediate antecedent of behavior”. The independent variables described in the previous section provide a significant impact on purchasing intention. This study examines the impact of selected attributes under four main categories, selected throughout reviewing existing literature, and its impact on the purchasing decision categorized as a Dependent variable in this study.</w:t>
      </w:r>
    </w:p>
    <w:p>
      <w:pPr>
        <w:spacing w:before="240" w:after="240"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sz w:val="24"/>
          <w:szCs w:val="24"/>
        </w:rPr>
        <w:t xml:space="preserve">As a </w:t>
      </w:r>
      <w:bookmarkStart w:id="0" w:name="_Toc119164999"/>
      <w:bookmarkStart w:id="1" w:name="_Toc119044479"/>
      <w:r>
        <w:rPr>
          <w:rFonts w:ascii="Times New Roman" w:hAnsi="Times New Roman" w:eastAsia="Times New Roman" w:cs="Times New Roman"/>
          <w:sz w:val="24"/>
          <w:szCs w:val="24"/>
        </w:rPr>
        <w:t>Moderating Factor</w:t>
      </w:r>
      <w:bookmarkEnd w:id="0"/>
      <w:bookmarkEnd w:id="1"/>
      <w:r>
        <w:rPr>
          <w:rFonts w:ascii="Times New Roman" w:hAnsi="Times New Roman" w:eastAsia="Times New Roman" w:cs="Times New Roman"/>
          <w:sz w:val="24"/>
          <w:szCs w:val="24"/>
        </w:rPr>
        <w:t xml:space="preserve">, </w:t>
      </w:r>
      <w:r>
        <w:rPr>
          <w:rFonts w:ascii="Times New Roman" w:hAnsi="Times New Roman" w:eastAsia="Times New Roman" w:cs="Times New Roman"/>
          <w:color w:val="000000"/>
          <w:sz w:val="24"/>
          <w:szCs w:val="24"/>
        </w:rPr>
        <w:t xml:space="preserve">the </w:t>
      </w:r>
      <w:sdt>
        <w:sdtPr>
          <w:rPr>
            <w:rFonts w:ascii="Times New Roman" w:hAnsi="Times New Roman" w:cs="Times New Roman"/>
            <w:sz w:val="24"/>
            <w:szCs w:val="24"/>
          </w:rPr>
          <w:id w:val="-212431138"/>
        </w:sdtPr>
        <w:sdtEndPr>
          <w:rPr>
            <w:rFonts w:ascii="Times New Roman" w:hAnsi="Times New Roman" w:cs="Times New Roman"/>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Ena15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(Shaqra'a et al., 2015)</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study established that the government should take initiatives through relevant institutions to provide affordable housing for lower- and middle-income markets. However, although Housing is under the classification of Affordability residents’ satisfaction and quality should also be explored. This study found the “Affordability” factor as a moderator based on the intention of the middle-income category focused generally towards that. In this study, it is investigated the Financial, Travelling, Professional and other charges’ and Service charge affordability of the potential buyers. This study generally aims to analyze the impact of the determinants of the consumer buying decision for Real Estate within Colombo and Suburbs of the potential middle-income buyers. Specific objectives are, </w:t>
      </w:r>
    </w:p>
    <w:p>
      <w:pPr>
        <w:pStyle w:val="26"/>
        <w:numPr>
          <w:ilvl w:val="0"/>
          <w:numId w:val="1"/>
        </w:numPr>
        <w:spacing w:before="240" w:after="240" w:line="360" w:lineRule="auto"/>
        <w:ind w:left="360"/>
        <w:jc w:val="both"/>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To evaluate the impacts of the determinants towards Real Estate consumer buying decisions within Colombo and Suburbs of the potential middle-income buyers.</w:t>
      </w:r>
    </w:p>
    <w:p>
      <w:pPr>
        <w:pStyle w:val="26"/>
        <w:numPr>
          <w:ilvl w:val="0"/>
          <w:numId w:val="1"/>
        </w:numPr>
        <w:spacing w:before="240" w:after="240" w:line="360" w:lineRule="auto"/>
        <w:ind w:left="360"/>
        <w:jc w:val="both"/>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To identify the major attributes, and impact the Real Estate consumer buying decision within Colombo and Suburbs of the potential middle-income buyers.</w:t>
      </w:r>
    </w:p>
    <w:p>
      <w:pPr>
        <w:pStyle w:val="26"/>
        <w:numPr>
          <w:ilvl w:val="0"/>
          <w:numId w:val="1"/>
        </w:numPr>
        <w:spacing w:before="240" w:after="240" w:line="360" w:lineRule="auto"/>
        <w:ind w:left="360"/>
        <w:jc w:val="both"/>
        <w:rPr>
          <w:rFonts w:ascii="Times New Roman" w:hAnsi="Times New Roman" w:cs="Times New Roman"/>
          <w:sz w:val="24"/>
          <w:szCs w:val="24"/>
        </w:rPr>
      </w:pPr>
      <w:r>
        <w:rPr>
          <w:rFonts w:ascii="Times New Roman" w:hAnsi="Times New Roman" w:eastAsia="Times New Roman" w:cs="Times New Roman"/>
          <w:color w:val="000000"/>
          <w:sz w:val="24"/>
          <w:szCs w:val="24"/>
        </w:rPr>
        <w:t>To assess the moderator impact of affordability factors towards determinants of Real Estate Buying decisions within Colombo and Suburbs of the potential middle-income buyers.</w:t>
      </w:r>
    </w:p>
    <w:p>
      <w:pPr>
        <w:spacing w:before="240" w:after="240" w:line="360" w:lineRule="auto"/>
        <w:jc w:val="both"/>
        <w:rPr>
          <w:rFonts w:ascii="Times New Roman" w:hAnsi="Times New Roman" w:cs="Times New Roman"/>
          <w:sz w:val="24"/>
          <w:szCs w:val="24"/>
        </w:rPr>
      </w:pPr>
    </w:p>
    <w:p>
      <w:pPr>
        <w:spacing w:before="240" w:after="240" w:line="360" w:lineRule="auto"/>
        <w:jc w:val="both"/>
        <w:rPr>
          <w:rFonts w:ascii="Times New Roman" w:hAnsi="Times New Roman" w:cs="Times New Roman"/>
          <w:sz w:val="24"/>
          <w:szCs w:val="24"/>
        </w:rPr>
      </w:pPr>
    </w:p>
    <w:p>
      <w:pPr>
        <w:spacing w:before="240" w:after="240" w:line="360" w:lineRule="auto"/>
        <w:jc w:val="both"/>
        <w:rPr>
          <w:rFonts w:ascii="Times New Roman" w:hAnsi="Times New Roman" w:cs="Times New Roman"/>
          <w:sz w:val="24"/>
          <w:szCs w:val="24"/>
        </w:rPr>
      </w:pPr>
    </w:p>
    <w:p>
      <w:pPr>
        <w:spacing w:before="240" w:after="240" w:line="360" w:lineRule="auto"/>
        <w:jc w:val="both"/>
        <w:rPr>
          <w:rFonts w:ascii="Times New Roman" w:hAnsi="Times New Roman" w:cs="Times New Roman"/>
          <w:sz w:val="24"/>
          <w:szCs w:val="24"/>
        </w:rPr>
      </w:pPr>
    </w:p>
    <w:p>
      <w:pPr>
        <w:spacing w:before="240" w:after="240" w:line="360" w:lineRule="auto"/>
        <w:jc w:val="both"/>
        <w:rPr>
          <w:rFonts w:ascii="Times New Roman" w:hAnsi="Times New Roman" w:cs="Times New Roman"/>
          <w:sz w:val="24"/>
          <w:szCs w:val="24"/>
        </w:rPr>
      </w:pPr>
    </w:p>
    <w:p>
      <w:pPr>
        <w:spacing w:before="240" w:after="240" w:line="360" w:lineRule="auto"/>
        <w:jc w:val="both"/>
        <w:rPr>
          <w:rFonts w:ascii="Times New Roman" w:hAnsi="Times New Roman" w:cs="Times New Roman"/>
          <w:sz w:val="24"/>
          <w:szCs w:val="24"/>
        </w:rPr>
      </w:pPr>
    </w:p>
    <w:p>
      <w:pPr>
        <w:spacing w:before="240" w:after="240" w:line="360" w:lineRule="auto"/>
        <w:jc w:val="both"/>
        <w:rPr>
          <w:rFonts w:ascii="Times New Roman" w:hAnsi="Times New Roman" w:cs="Times New Roman"/>
          <w:sz w:val="24"/>
          <w:szCs w:val="24"/>
        </w:rPr>
      </w:pPr>
    </w:p>
    <w:p>
      <w:pPr>
        <w:spacing w:before="240" w:after="240" w:line="360" w:lineRule="auto"/>
        <w:jc w:val="both"/>
        <w:rPr>
          <w:rFonts w:ascii="Times New Roman" w:hAnsi="Times New Roman" w:cs="Times New Roman"/>
          <w:sz w:val="24"/>
          <w:szCs w:val="24"/>
        </w:rPr>
      </w:pPr>
    </w:p>
    <w:p>
      <w:pPr>
        <w:pStyle w:val="3"/>
        <w:spacing w:after="200"/>
        <w:jc w:val="both"/>
        <w:rPr>
          <w:rFonts w:eastAsia="Times New Roman" w:cs="Times New Roman"/>
          <w:sz w:val="24"/>
          <w:szCs w:val="24"/>
        </w:rPr>
      </w:pPr>
      <w:r>
        <w:rPr>
          <w:rFonts w:eastAsia="Times New Roman" w:cs="Times New Roman"/>
          <w:sz w:val="24"/>
          <w:szCs w:val="24"/>
        </w:rPr>
        <w:t>Methods</w:t>
      </w:r>
    </w:p>
    <w:p>
      <w:pPr>
        <w:spacing w:before="240" w:after="240" w:line="360" w:lineRule="auto"/>
        <w:ind w:left="-80"/>
        <w:jc w:val="both"/>
        <w:rPr>
          <w:rFonts w:ascii="Times New Roman" w:hAnsi="Times New Roman" w:eastAsia="Times New Roman" w:cs="Times New Roman"/>
          <w:color w:val="000000"/>
          <w:sz w:val="24"/>
          <w:szCs w:val="24"/>
        </w:rPr>
      </w:pPr>
      <w:r>
        <w:rPr>
          <w:rFonts w:ascii="Times New Roman" w:hAnsi="Times New Roman" w:cs="Times New Roman"/>
          <w:sz w:val="24"/>
          <w:szCs w:val="24"/>
        </w:rPr>
        <w:t>Colombo has the most active and developed property market in Sri Lanka and shows a steady increase in demand for residential properties and the market became very significant in the last decade.</w:t>
      </w:r>
      <w:r>
        <w:rPr>
          <w:rFonts w:ascii="Times New Roman" w:hAnsi="Times New Roman" w:eastAsia="Times New Roman" w:cs="Times New Roman"/>
          <w:color w:val="000000"/>
          <w:sz w:val="24"/>
          <w:szCs w:val="24"/>
        </w:rPr>
        <w:t xml:space="preserve"> According to the Census of Population and Housing of Sri Lanka, </w:t>
      </w:r>
      <w:sdt>
        <w:sdtPr>
          <w:rPr>
            <w:rFonts w:ascii="Times New Roman" w:hAnsi="Times New Roman" w:eastAsia="Times New Roman" w:cs="Times New Roman"/>
            <w:color w:val="000000"/>
            <w:sz w:val="24"/>
            <w:szCs w:val="24"/>
          </w:rPr>
          <w:id w:val="1811362359"/>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 CITATION Dep12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(Planning, 2012)</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Total population has been counted as 2,324,349 and among them 528,408 people, within the age group of 30-45 which may try to settle by buying real properties for their establishments in the middle class in Colombo and suburbs, Sri Lanka. According to “Hedonic Pricing: Definition, How the Model Is Used, and Example</w:t>
      </w:r>
      <w:sdt>
        <w:sdtPr>
          <w:rPr>
            <w:rFonts w:ascii="Times New Roman" w:hAnsi="Times New Roman" w:eastAsia="Times New Roman" w:cs="Times New Roman"/>
            <w:color w:val="000000"/>
            <w:sz w:val="24"/>
            <w:szCs w:val="24"/>
          </w:rPr>
          <w:id w:val="1161437298"/>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MAR21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 xml:space="preserve"> (HARGRAVE &amp; BROCK, 2021)</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and “Investment Decisions in Real Estate: A Theory of Planned Behavior (TPB) Based Approach” </w:t>
      </w:r>
      <w:sdt>
        <w:sdtPr>
          <w:rPr>
            <w:rFonts w:ascii="Times New Roman" w:hAnsi="Times New Roman" w:eastAsia="Times New Roman" w:cs="Times New Roman"/>
            <w:color w:val="000000"/>
            <w:sz w:val="24"/>
            <w:szCs w:val="24"/>
          </w:rPr>
          <w:id w:val="-743571505"/>
        </w:sdtPr>
        <w:sdtEndPr>
          <w:rPr>
            <w:rFonts w:ascii="Times New Roman" w:hAnsi="Times New Roman" w:eastAsia="Times New Roman" w:cs="Times New Roman"/>
            <w:color w:val="000000"/>
            <w:sz w:val="24"/>
            <w:szCs w:val="24"/>
          </w:rPr>
        </w:sdtEndPr>
        <w:sdtContent>
          <w:r>
            <w:rPr>
              <w:rFonts w:ascii="Times New Roman" w:hAnsi="Times New Roman" w:eastAsia="Times New Roman" w:cs="Times New Roman"/>
              <w:color w:val="000000"/>
              <w:sz w:val="24"/>
              <w:szCs w:val="24"/>
            </w:rPr>
            <w:fldChar w:fldCharType="begin"/>
          </w:r>
          <w:r>
            <w:rPr>
              <w:rFonts w:ascii="Times New Roman" w:hAnsi="Times New Roman" w:eastAsia="Times New Roman" w:cs="Times New Roman"/>
              <w:color w:val="000000"/>
              <w:sz w:val="24"/>
              <w:szCs w:val="24"/>
            </w:rPr>
            <w:instrText xml:space="preserve">CITATION Hem18 \l 1033 </w:instrText>
          </w:r>
          <w:r>
            <w:rPr>
              <w:rFonts w:ascii="Times New Roman" w:hAnsi="Times New Roman" w:eastAsia="Times New Roman" w:cs="Times New Roman"/>
              <w:color w:val="000000"/>
              <w:sz w:val="24"/>
              <w:szCs w:val="24"/>
            </w:rPr>
            <w:fldChar w:fldCharType="separate"/>
          </w:r>
          <w:r>
            <w:rPr>
              <w:rFonts w:ascii="Times New Roman" w:hAnsi="Times New Roman" w:eastAsia="Times New Roman" w:cs="Times New Roman"/>
              <w:color w:val="000000"/>
              <w:sz w:val="24"/>
              <w:szCs w:val="24"/>
            </w:rPr>
            <w:t>(Ramasubbian et al., 2018)</w:t>
          </w:r>
          <w:r>
            <w:rPr>
              <w:rFonts w:ascii="Times New Roman" w:hAnsi="Times New Roman" w:eastAsia="Times New Roman" w:cs="Times New Roman"/>
              <w:color w:val="000000"/>
              <w:sz w:val="24"/>
              <w:szCs w:val="24"/>
            </w:rPr>
            <w:fldChar w:fldCharType="end"/>
          </w:r>
        </w:sdtContent>
      </w:sdt>
      <w:r>
        <w:rPr>
          <w:rFonts w:ascii="Times New Roman" w:hAnsi="Times New Roman" w:eastAsia="Times New Roman" w:cs="Times New Roman"/>
          <w:color w:val="000000"/>
          <w:sz w:val="24"/>
          <w:szCs w:val="24"/>
        </w:rPr>
        <w:t xml:space="preserve">   the methodology explores Hedonic pricing model, the law of demand and planning theory to generalize the idea and the whole research nourished with these already founded theories and models by well-known scholars. The questionnaire used a convenience sampling technique to fully comprehend the population. In this research, we collected data through self-administrated questionnaire surveys.</w:t>
      </w:r>
    </w:p>
    <w:p>
      <w:pPr>
        <w:spacing w:before="240" w:after="240" w:line="360" w:lineRule="auto"/>
        <w:ind w:left="-80"/>
        <w:jc w:val="both"/>
        <w:rPr>
          <w:rFonts w:ascii="Times New Roman" w:hAnsi="Times New Roman" w:eastAsia="Times New Roman" w:cs="Times New Roman"/>
          <w:color w:val="222222"/>
          <w:sz w:val="24"/>
          <w:szCs w:val="24"/>
        </w:rPr>
      </w:pPr>
      <w:r>
        <w:rPr>
          <w:rFonts w:ascii="Times New Roman" w:hAnsi="Times New Roman" w:eastAsia="Times New Roman" w:cs="Times New Roman"/>
          <w:color w:val="000000"/>
          <w:sz w:val="24"/>
          <w:szCs w:val="24"/>
        </w:rPr>
        <w:t xml:space="preserve">The research has followed the Positive quantitative method and it aims to quantify data which in brief the evidence to identify the attributes which will influence buyer intention to purchase the residential real estate in Colombo and Suburbs. Questioners are distributed to the chosen sample to collect the initial data. Additionally, it has been used by websites, conference papers, journal articles, and other sources to gather secondary data. The target population for the research is people who have the intention to buy Residential Real Estate in Colombo and its Suburbs. According to the censuses (Statistics, 2012) the total population has been estimated as 2,324,349, with 528,408 of those in the 30- to 45-year-old age range potentially attempting to settle by purchasing real properties for their companies. The sample of 384 people that represent the total population selected to </w:t>
      </w:r>
      <w:r>
        <w:rPr>
          <w:rFonts w:ascii="Times New Roman" w:hAnsi="Times New Roman" w:eastAsia="Times New Roman" w:cs="Times New Roman"/>
          <w:color w:val="222222"/>
          <w:sz w:val="24"/>
          <w:szCs w:val="24"/>
        </w:rPr>
        <w:t xml:space="preserve">conduct this study and this sample was determined by the sample calculator </w:t>
      </w:r>
      <w:sdt>
        <w:sdtPr>
          <w:rPr>
            <w:rFonts w:ascii="Times New Roman" w:hAnsi="Times New Roman" w:eastAsia="Times New Roman" w:cs="Times New Roman"/>
            <w:color w:val="222222"/>
            <w:sz w:val="24"/>
            <w:szCs w:val="24"/>
          </w:rPr>
          <w:id w:val="-633414895"/>
        </w:sdtPr>
        <w:sdtEndPr>
          <w:rPr>
            <w:rFonts w:ascii="Times New Roman" w:hAnsi="Times New Roman" w:eastAsia="Times New Roman" w:cs="Times New Roman"/>
            <w:color w:val="222222"/>
            <w:sz w:val="24"/>
            <w:szCs w:val="24"/>
          </w:rPr>
        </w:sdtEndPr>
        <w:sdtContent>
          <w:r>
            <w:rPr>
              <w:rFonts w:ascii="Times New Roman" w:hAnsi="Times New Roman" w:eastAsia="Times New Roman" w:cs="Times New Roman"/>
              <w:color w:val="222222"/>
              <w:sz w:val="24"/>
              <w:szCs w:val="24"/>
            </w:rPr>
            <w:fldChar w:fldCharType="begin"/>
          </w:r>
          <w:r>
            <w:rPr>
              <w:rFonts w:ascii="Times New Roman" w:hAnsi="Times New Roman" w:eastAsia="Times New Roman" w:cs="Times New Roman"/>
              <w:color w:val="222222"/>
              <w:sz w:val="24"/>
              <w:szCs w:val="24"/>
            </w:rPr>
            <w:instrText xml:space="preserve"> CITATION Cre22 \l 1033 </w:instrText>
          </w:r>
          <w:r>
            <w:rPr>
              <w:rFonts w:ascii="Times New Roman" w:hAnsi="Times New Roman" w:eastAsia="Times New Roman" w:cs="Times New Roman"/>
              <w:color w:val="222222"/>
              <w:sz w:val="24"/>
              <w:szCs w:val="24"/>
            </w:rPr>
            <w:fldChar w:fldCharType="separate"/>
          </w:r>
          <w:r>
            <w:rPr>
              <w:rFonts w:ascii="Times New Roman" w:hAnsi="Times New Roman" w:eastAsia="Times New Roman" w:cs="Times New Roman"/>
              <w:color w:val="222222"/>
              <w:sz w:val="24"/>
              <w:szCs w:val="24"/>
            </w:rPr>
            <w:t>(Systems, n.d.)</w:t>
          </w:r>
          <w:r>
            <w:rPr>
              <w:rFonts w:ascii="Times New Roman" w:hAnsi="Times New Roman" w:eastAsia="Times New Roman" w:cs="Times New Roman"/>
              <w:color w:val="222222"/>
              <w:sz w:val="24"/>
              <w:szCs w:val="24"/>
            </w:rPr>
            <w:fldChar w:fldCharType="end"/>
          </w:r>
        </w:sdtContent>
      </w:sdt>
      <w:r>
        <w:rPr>
          <w:rFonts w:ascii="Times New Roman" w:hAnsi="Times New Roman" w:eastAsia="Times New Roman" w:cs="Times New Roman"/>
          <w:color w:val="222222"/>
          <w:sz w:val="24"/>
          <w:szCs w:val="24"/>
        </w:rPr>
        <w:t>.</w:t>
      </w:r>
    </w:p>
    <w:p>
      <w:pPr>
        <w:spacing w:before="240" w:after="240" w:line="360" w:lineRule="auto"/>
        <w:ind w:left="-270"/>
        <w:jc w:val="both"/>
        <w:rPr>
          <w:rFonts w:ascii="Times New Roman" w:hAnsi="Times New Roman" w:eastAsia="Times New Roman" w:cs="Times New Roman"/>
          <w:sz w:val="24"/>
          <w:szCs w:val="24"/>
        </w:rPr>
      </w:pPr>
      <w:r>
        <w:rPr>
          <w:rFonts w:ascii="Times New Roman" w:hAnsi="Times New Roman" w:eastAsia="Times New Roman" w:cs="Times New Roman"/>
          <w:color w:val="222222"/>
          <w:sz w:val="24"/>
          <w:szCs w:val="24"/>
          <w:lang w:bidi="ar-SA"/>
        </w:rPr>
        <w:drawing>
          <wp:anchor distT="0" distB="0" distL="114300" distR="114300" simplePos="0" relativeHeight="251659264" behindDoc="0" locked="0" layoutInCell="1" allowOverlap="1">
            <wp:simplePos x="0" y="0"/>
            <wp:positionH relativeFrom="column">
              <wp:posOffset>66675</wp:posOffset>
            </wp:positionH>
            <wp:positionV relativeFrom="paragraph">
              <wp:posOffset>213995</wp:posOffset>
            </wp:positionV>
            <wp:extent cx="3260725" cy="1005840"/>
            <wp:effectExtent l="19050" t="19050" r="15875" b="22860"/>
            <wp:wrapThrough wrapText="bothSides">
              <wp:wrapPolygon>
                <wp:start x="-126" y="-409"/>
                <wp:lineTo x="-126" y="21682"/>
                <wp:lineTo x="21579" y="21682"/>
                <wp:lineTo x="21579" y="-409"/>
                <wp:lineTo x="-126" y="-409"/>
              </wp:wrapPolygon>
            </wp:wrapThrough>
            <wp:docPr id="1" name="Picture 1" descr="https://lh3.googleusercontent.com/PxtJinN8DzwMIWE4GPQ5rlKFnHJshhDHybytwD0dhZaNLIKxwWWPYhl37r77krHqyuPPKq9ARdY422ZN2f4ZC458oHdZ2ckr4aWtWTUQ9bYgVwx0PwUyHCW8PfDw5MmtSe8uBWOYV9Q2gWpbdGSjQgZBL-UVQ8FVo9rZpNJaJyDjdIgOERH69QmTWvHK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https://lh3.googleusercontent.com/PxtJinN8DzwMIWE4GPQ5rlKFnHJshhDHybytwD0dhZaNLIKxwWWPYhl37r77krHqyuPPKq9ARdY422ZN2f4ZC458oHdZ2ckr4aWtWTUQ9bYgVwx0PwUyHCW8PfDw5MmtSe8uBWOYV9Q2gWpbdGSjQgZBL-UVQ8FVo9rZpNJaJyDjdIgOERH69QmTWvHK1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260725" cy="1005840"/>
                    </a:xfrm>
                    <a:prstGeom prst="rect">
                      <a:avLst/>
                    </a:prstGeom>
                    <a:noFill/>
                    <a:ln>
                      <a:solidFill>
                        <a:schemeClr val="tx1">
                          <a:lumMod val="50000"/>
                          <a:lumOff val="50000"/>
                        </a:schemeClr>
                      </a:solidFill>
                    </a:ln>
                  </pic:spPr>
                </pic:pic>
              </a:graphicData>
            </a:graphic>
          </wp:anchor>
        </w:drawing>
      </w:r>
    </w:p>
    <w:p>
      <w:pPr>
        <w:spacing w:before="240" w:after="240" w:line="360" w:lineRule="auto"/>
        <w:ind w:left="-270"/>
        <w:jc w:val="both"/>
        <w:rPr>
          <w:rFonts w:ascii="Times New Roman" w:hAnsi="Times New Roman" w:eastAsia="Times New Roman" w:cs="Times New Roman"/>
          <w:sz w:val="24"/>
          <w:szCs w:val="24"/>
        </w:rPr>
      </w:pPr>
    </w:p>
    <w:p>
      <w:pPr>
        <w:spacing w:before="240" w:after="240" w:line="360" w:lineRule="auto"/>
        <w:ind w:left="-270"/>
        <w:jc w:val="both"/>
        <w:rPr>
          <w:rFonts w:ascii="Times New Roman" w:hAnsi="Times New Roman" w:eastAsia="Times New Roman" w:cs="Times New Roman"/>
          <w:sz w:val="24"/>
          <w:szCs w:val="24"/>
        </w:rPr>
      </w:pPr>
    </w:p>
    <w:p>
      <w:pPr>
        <w:spacing w:before="240" w:after="240" w:line="360" w:lineRule="auto"/>
        <w:ind w:left="-270"/>
        <w:jc w:val="both"/>
        <w:rPr>
          <w:rFonts w:ascii="Times New Roman" w:hAnsi="Times New Roman" w:eastAsia="Times New Roman" w:cs="Times New Roman"/>
          <w:sz w:val="24"/>
          <w:szCs w:val="24"/>
        </w:rPr>
      </w:pPr>
      <w:r>
        <w:rPr>
          <w:lang w:bidi="ar-SA"/>
        </w:rPr>
        <mc:AlternateContent>
          <mc:Choice Requires="wps">
            <w:drawing>
              <wp:anchor distT="0" distB="0" distL="114300" distR="114300" simplePos="0" relativeHeight="251661312" behindDoc="0" locked="0" layoutInCell="1" allowOverlap="1">
                <wp:simplePos x="0" y="0"/>
                <wp:positionH relativeFrom="column">
                  <wp:posOffset>121920</wp:posOffset>
                </wp:positionH>
                <wp:positionV relativeFrom="paragraph">
                  <wp:posOffset>61595</wp:posOffset>
                </wp:positionV>
                <wp:extent cx="3260725" cy="635"/>
                <wp:effectExtent l="0" t="0" r="0" b="2540"/>
                <wp:wrapThrough wrapText="bothSides">
                  <wp:wrapPolygon>
                    <wp:start x="0" y="0"/>
                    <wp:lineTo x="0" y="20420"/>
                    <wp:lineTo x="21453" y="20420"/>
                    <wp:lineTo x="21453" y="0"/>
                    <wp:lineTo x="0" y="0"/>
                  </wp:wrapPolygon>
                </wp:wrapThrough>
                <wp:docPr id="2085156309" name="Text Box 1"/>
                <wp:cNvGraphicFramePr/>
                <a:graphic xmlns:a="http://schemas.openxmlformats.org/drawingml/2006/main">
                  <a:graphicData uri="http://schemas.microsoft.com/office/word/2010/wordprocessingShape">
                    <wps:wsp>
                      <wps:cNvSpPr txBox="1"/>
                      <wps:spPr>
                        <a:xfrm>
                          <a:off x="0" y="0"/>
                          <a:ext cx="3260725" cy="635"/>
                        </a:xfrm>
                        <a:prstGeom prst="rect">
                          <a:avLst/>
                        </a:prstGeom>
                        <a:solidFill>
                          <a:prstClr val="white"/>
                        </a:solidFill>
                        <a:ln>
                          <a:noFill/>
                        </a:ln>
                      </wps:spPr>
                      <wps:txbx>
                        <w:txbxContent>
                          <w:p>
                            <w:pPr>
                              <w:pStyle w:val="8"/>
                              <w:rPr>
                                <w:rFonts w:ascii="Times New Roman" w:hAnsi="Times New Roman" w:eastAsia="Times New Roman" w:cs="Times New Roman"/>
                                <w:color w:val="auto"/>
                                <w:sz w:val="24"/>
                                <w:szCs w:val="24"/>
                              </w:rPr>
                            </w:pPr>
                            <w:r>
                              <w:rPr>
                                <w:rFonts w:ascii="Times New Roman" w:hAnsi="Times New Roman" w:cs="Times New Roman"/>
                                <w:color w:val="auto"/>
                                <w:sz w:val="24"/>
                                <w:szCs w:val="24"/>
                              </w:rPr>
                              <w:t xml:space="preserve">Equation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Equation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1</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Sample size calculator</w:t>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Text Box 1" o:spid="_x0000_s1026" o:spt="202" type="#_x0000_t202" style="position:absolute;left:0pt;margin-left:9.6pt;margin-top:4.85pt;height:0.05pt;width:256.75pt;mso-wrap-distance-left:9pt;mso-wrap-distance-right:9pt;z-index:251661312;mso-width-relative:page;mso-height-relative:page;" fillcolor="#FFFFFF" filled="t" stroked="f" coordsize="21600,21600" wrapcoords="0 0 0 20420 21453 20420 21453 0 0 0" o:gfxdata="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EDrFtYAAAAGAQAADwAAAAAAAAABACAAAAAiAAAAZHJzL2Rvd25yZXYueG1s&#10;UEsBAhQAFAAAAAgAh07iQCzMkw0zAgAAegQAAA4AAAAAAAAAAQAgAAAAJQEAAGRycy9lMm9Eb2Mu&#10;eG1sUEsFBgAAAAAGAAYAWQEAAMoFAAAAAA==&#10;">
                <v:fill on="t" focussize="0,0"/>
                <v:stroke on="f"/>
                <v:imagedata o:title=""/>
                <o:lock v:ext="edit" aspectratio="f"/>
                <v:textbox inset="0mm,0mm,0mm,0mm" style="mso-fit-shape-to-text:t;">
                  <w:txbxContent>
                    <w:p>
                      <w:pPr>
                        <w:pStyle w:val="8"/>
                        <w:rPr>
                          <w:rFonts w:ascii="Times New Roman" w:hAnsi="Times New Roman" w:eastAsia="Times New Roman" w:cs="Times New Roman"/>
                          <w:color w:val="auto"/>
                          <w:sz w:val="24"/>
                          <w:szCs w:val="24"/>
                        </w:rPr>
                      </w:pPr>
                      <w:r>
                        <w:rPr>
                          <w:rFonts w:ascii="Times New Roman" w:hAnsi="Times New Roman" w:cs="Times New Roman"/>
                          <w:color w:val="auto"/>
                          <w:sz w:val="24"/>
                          <w:szCs w:val="24"/>
                        </w:rPr>
                        <w:t xml:space="preserve">Equation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Equation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1</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Sample size calculator</w:t>
                      </w:r>
                    </w:p>
                  </w:txbxContent>
                </v:textbox>
                <w10:wrap type="through"/>
              </v:shape>
            </w:pict>
          </mc:Fallback>
        </mc:AlternateContent>
      </w:r>
    </w:p>
    <w:p>
      <w:pPr>
        <w:spacing w:before="240" w:after="240" w:line="360" w:lineRule="auto"/>
        <w:jc w:val="both"/>
        <w:rPr>
          <w:rFonts w:ascii="Times New Roman" w:hAnsi="Times New Roman" w:eastAsia="Times New Roman" w:cs="Times New Roman"/>
          <w:color w:val="222222"/>
          <w:sz w:val="24"/>
          <w:szCs w:val="24"/>
        </w:rPr>
      </w:pPr>
      <w:r>
        <w:rPr>
          <w:rFonts w:ascii="Times New Roman" w:hAnsi="Times New Roman" w:cs="Times New Roman"/>
          <w:lang w:bidi="ar-SA"/>
        </w:rPr>
        <mc:AlternateContent>
          <mc:Choice Requires="wps">
            <w:drawing>
              <wp:anchor distT="0" distB="0" distL="114300" distR="114300" simplePos="0" relativeHeight="251664384" behindDoc="1" locked="0" layoutInCell="1" allowOverlap="1">
                <wp:simplePos x="0" y="0"/>
                <wp:positionH relativeFrom="column">
                  <wp:posOffset>54610</wp:posOffset>
                </wp:positionH>
                <wp:positionV relativeFrom="paragraph">
                  <wp:posOffset>403860</wp:posOffset>
                </wp:positionV>
                <wp:extent cx="5041900" cy="2562225"/>
                <wp:effectExtent l="0" t="0" r="25400" b="28575"/>
                <wp:wrapNone/>
                <wp:docPr id="17" name="Text Box 17"/>
                <wp:cNvGraphicFramePr/>
                <a:graphic xmlns:a="http://schemas.openxmlformats.org/drawingml/2006/main">
                  <a:graphicData uri="http://schemas.microsoft.com/office/word/2010/wordprocessingShape">
                    <wps:wsp>
                      <wps:cNvSpPr txBox="1"/>
                      <wps:spPr>
                        <a:xfrm>
                          <a:off x="0" y="0"/>
                          <a:ext cx="5041900" cy="2562225"/>
                        </a:xfrm>
                        <a:prstGeom prst="rect">
                          <a:avLst/>
                        </a:prstGeom>
                        <a:solidFill>
                          <a:sysClr val="window" lastClr="FFFFFF"/>
                        </a:solidFill>
                        <a:ln w="6350">
                          <a:solidFill>
                            <a:schemeClr val="bg2">
                              <a:lumMod val="50000"/>
                            </a:schemeClr>
                          </a:solidFill>
                        </a:ln>
                        <a:effectLst/>
                      </wps:spPr>
                      <wps:txbx>
                        <w:txbxContent>
                          <w:p>
                            <w:pPr>
                              <w:jc w:val="center"/>
                              <w:rPr>
                                <w:rFonts w:ascii="Times New Roman" w:hAnsi="Times New Roman" w:cs="Times New Roman"/>
                                <w:b/>
                                <w:bCs/>
                                <w:sz w:val="28"/>
                                <w:szCs w:val="28"/>
                              </w:rPr>
                            </w:pPr>
                            <w:r>
                              <w:rPr>
                                <w:rFonts w:ascii="Times New Roman" w:hAnsi="Times New Roman" w:cs="Times New Roman"/>
                                <w:b/>
                                <w:bCs/>
                                <w:sz w:val="28"/>
                                <w:szCs w:val="28"/>
                              </w:rPr>
                              <w:t>Conceptual Framework</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3pt;margin-top:31.8pt;height:201.75pt;width:397pt;z-index:-251652096;mso-width-relative:page;mso-height-relative:page;" fillcolor="#FFFFFF" filled="t" stroked="t" coordsize="21600,21600" o:gfxdata="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BNNQaE2AAAAAgBAAAPAAAAAAAAAAEAIAAAACIAAABkcnMvZG93bnJldi54&#10;bWxQSwECFAAUAAAACACHTuJAXazVTWwCAAD6BAAADgAAAAAAAAABACAAAAAnAQAAZHJzL2Uyb0Rv&#10;Yy54bWxQSwUGAAAAAAYABgBZAQAABQYAAAAA&#10;">
                <v:fill on="t" focussize="0,0"/>
                <v:stroke weight="0.5pt" color="#948A54 [1614]" joinstyle="round"/>
                <v:imagedata o:title=""/>
                <o:lock v:ext="edit" aspectratio="f"/>
                <v:textbox>
                  <w:txbxContent>
                    <w:p>
                      <w:pPr>
                        <w:jc w:val="center"/>
                        <w:rPr>
                          <w:rFonts w:ascii="Times New Roman" w:hAnsi="Times New Roman" w:cs="Times New Roman"/>
                          <w:b/>
                          <w:bCs/>
                          <w:sz w:val="28"/>
                          <w:szCs w:val="28"/>
                        </w:rPr>
                      </w:pPr>
                      <w:r>
                        <w:rPr>
                          <w:rFonts w:ascii="Times New Roman" w:hAnsi="Times New Roman" w:cs="Times New Roman"/>
                          <w:b/>
                          <w:bCs/>
                          <w:sz w:val="28"/>
                          <w:szCs w:val="28"/>
                        </w:rPr>
                        <w:t>Conceptual Framework</w:t>
                      </w:r>
                    </w:p>
                  </w:txbxContent>
                </v:textbox>
              </v:shape>
            </w:pict>
          </mc:Fallback>
        </mc:AlternateContent>
      </w:r>
    </w:p>
    <w:p>
      <w:pPr>
        <w:spacing w:before="240" w:after="240" w:line="360" w:lineRule="auto"/>
        <w:jc w:val="both"/>
        <w:rPr>
          <w:rFonts w:ascii="Times New Roman" w:hAnsi="Times New Roman" w:eastAsia="Times New Roman" w:cs="Times New Roman"/>
          <w:color w:val="222222"/>
          <w:sz w:val="24"/>
          <w:szCs w:val="24"/>
        </w:rPr>
      </w:pPr>
      <w:r>
        <w:rPr>
          <w:rFonts w:ascii="Times New Roman" w:hAnsi="Times New Roman" w:cs="Times New Roman"/>
          <w:lang w:bidi="ar-SA"/>
        </w:rPr>
        <mc:AlternateContent>
          <mc:Choice Requires="wpg">
            <w:drawing>
              <wp:anchor distT="0" distB="0" distL="114300" distR="114300" simplePos="0" relativeHeight="251663360" behindDoc="0" locked="0" layoutInCell="1" allowOverlap="1">
                <wp:simplePos x="0" y="0"/>
                <wp:positionH relativeFrom="column">
                  <wp:posOffset>142875</wp:posOffset>
                </wp:positionH>
                <wp:positionV relativeFrom="paragraph">
                  <wp:posOffset>272415</wp:posOffset>
                </wp:positionV>
                <wp:extent cx="4689475" cy="2076450"/>
                <wp:effectExtent l="0" t="0" r="15875" b="19050"/>
                <wp:wrapNone/>
                <wp:docPr id="18" name="Group 18"/>
                <wp:cNvGraphicFramePr/>
                <a:graphic xmlns:a="http://schemas.openxmlformats.org/drawingml/2006/main">
                  <a:graphicData uri="http://schemas.microsoft.com/office/word/2010/wordprocessingGroup">
                    <wpg:wgp>
                      <wpg:cNvGrpSpPr/>
                      <wpg:grpSpPr>
                        <a:xfrm>
                          <a:off x="0" y="0"/>
                          <a:ext cx="4689475" cy="2076450"/>
                          <a:chOff x="-28575" y="1"/>
                          <a:chExt cx="4689475" cy="2076450"/>
                        </a:xfrm>
                      </wpg:grpSpPr>
                      <wps:wsp>
                        <wps:cNvPr id="19" name="Text Box 19"/>
                        <wps:cNvSpPr txBox="1"/>
                        <wps:spPr>
                          <a:xfrm>
                            <a:off x="-28575" y="12700"/>
                            <a:ext cx="1651000" cy="1158875"/>
                          </a:xfrm>
                          <a:prstGeom prst="rect">
                            <a:avLst/>
                          </a:prstGeom>
                          <a:solidFill>
                            <a:sysClr val="window" lastClr="FFFFFF"/>
                          </a:solidFill>
                          <a:ln w="6350">
                            <a:solidFill>
                              <a:schemeClr val="tx2">
                                <a:lumMod val="75000"/>
                              </a:schemeClr>
                            </a:solidFill>
                          </a:ln>
                          <a:effectLst/>
                        </wps:spPr>
                        <wps:txbx>
                          <w:txbxContent>
                            <w:p>
                              <w:pPr>
                                <w:rPr>
                                  <w:rFonts w:ascii="Times New Roman" w:hAnsi="Times New Roman" w:cs="Times New Roman"/>
                                  <w:u w:val="single"/>
                                </w:rPr>
                              </w:pPr>
                              <w:r>
                                <w:rPr>
                                  <w:rFonts w:ascii="Times New Roman" w:hAnsi="Times New Roman" w:cs="Times New Roman"/>
                                  <w:u w:val="single"/>
                                </w:rPr>
                                <w:t>Independent Variable</w:t>
                              </w:r>
                            </w:p>
                            <w:p>
                              <w:pPr>
                                <w:pStyle w:val="26"/>
                                <w:numPr>
                                  <w:ilvl w:val="0"/>
                                  <w:numId w:val="2"/>
                                </w:numPr>
                                <w:rPr>
                                  <w:rFonts w:ascii="Times New Roman" w:hAnsi="Times New Roman" w:cs="Times New Roman"/>
                                </w:rPr>
                              </w:pPr>
                              <w:r>
                                <w:rPr>
                                  <w:rFonts w:ascii="Times New Roman" w:hAnsi="Times New Roman" w:cs="Times New Roman"/>
                                </w:rPr>
                                <w:t>Location</w:t>
                              </w:r>
                            </w:p>
                            <w:p>
                              <w:pPr>
                                <w:pStyle w:val="26"/>
                                <w:numPr>
                                  <w:ilvl w:val="0"/>
                                  <w:numId w:val="2"/>
                                </w:numPr>
                                <w:rPr>
                                  <w:rFonts w:ascii="Times New Roman" w:hAnsi="Times New Roman" w:cs="Times New Roman"/>
                                </w:rPr>
                              </w:pPr>
                              <w:r>
                                <w:rPr>
                                  <w:rFonts w:ascii="Times New Roman" w:hAnsi="Times New Roman" w:cs="Times New Roman"/>
                                </w:rPr>
                                <w:t>Price</w:t>
                              </w:r>
                            </w:p>
                            <w:p>
                              <w:pPr>
                                <w:pStyle w:val="26"/>
                                <w:numPr>
                                  <w:ilvl w:val="0"/>
                                  <w:numId w:val="2"/>
                                </w:numPr>
                                <w:rPr>
                                  <w:rFonts w:ascii="Times New Roman" w:hAnsi="Times New Roman" w:cs="Times New Roman"/>
                                </w:rPr>
                              </w:pPr>
                              <w:r>
                                <w:rPr>
                                  <w:rFonts w:ascii="Times New Roman" w:hAnsi="Times New Roman" w:cs="Times New Roman"/>
                                </w:rPr>
                                <w:t>Legal Attributes</w:t>
                              </w:r>
                            </w:p>
                            <w:p>
                              <w:pPr>
                                <w:pStyle w:val="26"/>
                                <w:numPr>
                                  <w:ilvl w:val="0"/>
                                  <w:numId w:val="2"/>
                                </w:numPr>
                                <w:rPr>
                                  <w:rFonts w:ascii="Times New Roman" w:hAnsi="Times New Roman" w:cs="Times New Roman"/>
                                </w:rPr>
                              </w:pPr>
                              <w:r>
                                <w:rPr>
                                  <w:rFonts w:ascii="Times New Roman" w:hAnsi="Times New Roman" w:cs="Times New Roman"/>
                                </w:rPr>
                                <w:t>Services</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0" name="Text Box 20"/>
                        <wps:cNvSpPr txBox="1"/>
                        <wps:spPr>
                          <a:xfrm>
                            <a:off x="1476375" y="1517651"/>
                            <a:ext cx="1651000" cy="558800"/>
                          </a:xfrm>
                          <a:prstGeom prst="rect">
                            <a:avLst/>
                          </a:prstGeom>
                          <a:solidFill>
                            <a:sysClr val="window" lastClr="FFFFFF"/>
                          </a:solidFill>
                          <a:ln w="6350">
                            <a:solidFill>
                              <a:schemeClr val="tx2">
                                <a:lumMod val="75000"/>
                              </a:schemeClr>
                            </a:solidFill>
                          </a:ln>
                          <a:effectLst/>
                        </wps:spPr>
                        <wps:txbx>
                          <w:txbxContent>
                            <w:p>
                              <w:pPr>
                                <w:jc w:val="center"/>
                                <w:rPr>
                                  <w:rFonts w:ascii="Times New Roman" w:hAnsi="Times New Roman" w:cs="Times New Roman"/>
                                  <w:u w:val="single"/>
                                </w:rPr>
                              </w:pPr>
                              <w:r>
                                <w:rPr>
                                  <w:rFonts w:ascii="Times New Roman" w:hAnsi="Times New Roman" w:cs="Times New Roman"/>
                                  <w:u w:val="single"/>
                                </w:rPr>
                                <w:t>Moderating Effect</w:t>
                              </w:r>
                            </w:p>
                            <w:p>
                              <w:pPr>
                                <w:jc w:val="center"/>
                                <w:rPr>
                                  <w:rFonts w:ascii="Times New Roman" w:hAnsi="Times New Roman" w:cs="Times New Roman"/>
                                </w:rPr>
                              </w:pPr>
                              <w:r>
                                <w:rPr>
                                  <w:rFonts w:ascii="Times New Roman" w:hAnsi="Times New Roman" w:cs="Times New Roman"/>
                                </w:rPr>
                                <w:t>Affordability</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Text Box 21"/>
                        <wps:cNvSpPr txBox="1"/>
                        <wps:spPr>
                          <a:xfrm>
                            <a:off x="3009900" y="1"/>
                            <a:ext cx="1651000" cy="1171574"/>
                          </a:xfrm>
                          <a:prstGeom prst="rect">
                            <a:avLst/>
                          </a:prstGeom>
                          <a:solidFill>
                            <a:sysClr val="window" lastClr="FFFFFF"/>
                          </a:solidFill>
                          <a:ln w="6350">
                            <a:solidFill>
                              <a:schemeClr val="tx2">
                                <a:lumMod val="75000"/>
                              </a:schemeClr>
                            </a:solidFill>
                          </a:ln>
                          <a:effectLst/>
                        </wps:spPr>
                        <wps:txbx>
                          <w:txbxContent>
                            <w:p>
                              <w:pPr>
                                <w:jc w:val="center"/>
                                <w:rPr>
                                  <w:rFonts w:ascii="Times New Roman" w:hAnsi="Times New Roman" w:cs="Times New Roman"/>
                                  <w:u w:val="single"/>
                                </w:rPr>
                              </w:pPr>
                              <w:r>
                                <w:rPr>
                                  <w:rFonts w:ascii="Times New Roman" w:hAnsi="Times New Roman" w:cs="Times New Roman"/>
                                  <w:u w:val="single"/>
                                </w:rPr>
                                <w:t>Dependent Variable</w:t>
                              </w:r>
                            </w:p>
                            <w:p>
                              <w:pPr>
                                <w:jc w:val="center"/>
                                <w:rPr>
                                  <w:rFonts w:ascii="Times New Roman" w:hAnsi="Times New Roman" w:cs="Times New Roman"/>
                                </w:rPr>
                              </w:pPr>
                              <w:r>
                                <w:rPr>
                                  <w:rFonts w:ascii="Times New Roman" w:hAnsi="Times New Roman" w:cs="Times New Roman"/>
                                </w:rPr>
                                <w:t>Consumer Purchasing Intention</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2" name="Straight Arrow Connector 22"/>
                        <wps:cNvCnPr/>
                        <wps:spPr>
                          <a:xfrm flipV="1">
                            <a:off x="1651000" y="647700"/>
                            <a:ext cx="1358900" cy="6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3" name="Straight Arrow Connector 23"/>
                        <wps:cNvCnPr/>
                        <wps:spPr>
                          <a:xfrm flipH="1" flipV="1">
                            <a:off x="2336800" y="647700"/>
                            <a:ext cx="19050" cy="8699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_x0000_s1026" o:spid="_x0000_s1026" o:spt="203" style="position:absolute;left:0pt;margin-left:11.25pt;margin-top:21.45pt;height:163.5pt;width:369.25pt;z-index:251663360;mso-width-relative:page;mso-height-relative:page;" coordorigin="-28575,1" coordsize="4689475,2076450" o:gfxdata="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">
                <o:lock v:ext="edit" aspectratio="f"/>
                <v:shape id="_x0000_s1026" o:spid="_x0000_s1026" o:spt="202" type="#_x0000_t202" style="position:absolute;left:-28575;top:12700;height:1158875;width:1651000;" fillcolor="#FFFFFF" filled="t" stroked="t" coordsize="21600,21600" o:gfxdata="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nbaoq8AAAA&#10;2wAAAA8AAAAAAAAAAQAgAAAAIgAAAGRycy9kb3ducmV2LnhtbFBLAQIUABQAAAAIAIdO4kAzLwWe&#10;OwAAADkAAAAQAAAAAAAAAAEAIAAAAAsBAABkcnMvc2hhcGV4bWwueG1sUEsFBgAAAAAGAAYAWwEA&#10;ALUDAAAAAA==&#10;">
                  <v:fill on="t" focussize="0,0"/>
                  <v:stroke weight="0.5pt" color="#17375E [2415]" joinstyle="round"/>
                  <v:imagedata o:title=""/>
                  <o:lock v:ext="edit" aspectratio="f"/>
                  <v:textbox>
                    <w:txbxContent>
                      <w:p>
                        <w:pPr>
                          <w:rPr>
                            <w:rFonts w:ascii="Times New Roman" w:hAnsi="Times New Roman" w:cs="Times New Roman"/>
                            <w:u w:val="single"/>
                          </w:rPr>
                        </w:pPr>
                        <w:r>
                          <w:rPr>
                            <w:rFonts w:ascii="Times New Roman" w:hAnsi="Times New Roman" w:cs="Times New Roman"/>
                            <w:u w:val="single"/>
                          </w:rPr>
                          <w:t>Independent Variable</w:t>
                        </w:r>
                      </w:p>
                      <w:p>
                        <w:pPr>
                          <w:pStyle w:val="26"/>
                          <w:numPr>
                            <w:ilvl w:val="0"/>
                            <w:numId w:val="2"/>
                          </w:numPr>
                          <w:rPr>
                            <w:rFonts w:ascii="Times New Roman" w:hAnsi="Times New Roman" w:cs="Times New Roman"/>
                          </w:rPr>
                        </w:pPr>
                        <w:r>
                          <w:rPr>
                            <w:rFonts w:ascii="Times New Roman" w:hAnsi="Times New Roman" w:cs="Times New Roman"/>
                          </w:rPr>
                          <w:t>Location</w:t>
                        </w:r>
                      </w:p>
                      <w:p>
                        <w:pPr>
                          <w:pStyle w:val="26"/>
                          <w:numPr>
                            <w:ilvl w:val="0"/>
                            <w:numId w:val="2"/>
                          </w:numPr>
                          <w:rPr>
                            <w:rFonts w:ascii="Times New Roman" w:hAnsi="Times New Roman" w:cs="Times New Roman"/>
                          </w:rPr>
                        </w:pPr>
                        <w:r>
                          <w:rPr>
                            <w:rFonts w:ascii="Times New Roman" w:hAnsi="Times New Roman" w:cs="Times New Roman"/>
                          </w:rPr>
                          <w:t>Price</w:t>
                        </w:r>
                      </w:p>
                      <w:p>
                        <w:pPr>
                          <w:pStyle w:val="26"/>
                          <w:numPr>
                            <w:ilvl w:val="0"/>
                            <w:numId w:val="2"/>
                          </w:numPr>
                          <w:rPr>
                            <w:rFonts w:ascii="Times New Roman" w:hAnsi="Times New Roman" w:cs="Times New Roman"/>
                          </w:rPr>
                        </w:pPr>
                        <w:r>
                          <w:rPr>
                            <w:rFonts w:ascii="Times New Roman" w:hAnsi="Times New Roman" w:cs="Times New Roman"/>
                          </w:rPr>
                          <w:t>Legal Attributes</w:t>
                        </w:r>
                      </w:p>
                      <w:p>
                        <w:pPr>
                          <w:pStyle w:val="26"/>
                          <w:numPr>
                            <w:ilvl w:val="0"/>
                            <w:numId w:val="2"/>
                          </w:numPr>
                          <w:rPr>
                            <w:rFonts w:ascii="Times New Roman" w:hAnsi="Times New Roman" w:cs="Times New Roman"/>
                          </w:rPr>
                        </w:pPr>
                        <w:r>
                          <w:rPr>
                            <w:rFonts w:ascii="Times New Roman" w:hAnsi="Times New Roman" w:cs="Times New Roman"/>
                          </w:rPr>
                          <w:t>Services</w:t>
                        </w:r>
                      </w:p>
                    </w:txbxContent>
                  </v:textbox>
                </v:shape>
                <v:shape id="_x0000_s1026" o:spid="_x0000_s1026" o:spt="202" type="#_x0000_t202" style="position:absolute;left:1476375;top:1517651;height:558800;width:1651000;v-text-anchor:middle;" fillcolor="#FFFFFF" filled="t" stroked="t" coordsize="21600,21600" o:gfxdata="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bK/O5AAAA2wAA&#10;AA8AAAAAAAAAAQAgAAAAIgAAAGRycy9kb3ducmV2LnhtbFBLAQIUABQAAAAIAIdO4kAzLwWeOwAA&#10;ADkAAAAQAAAAAAAAAAEAIAAAAAgBAABkcnMvc2hhcGV4bWwueG1sUEsFBgAAAAAGAAYAWwEAALID&#10;AAAAAA==&#10;">
                  <v:fill on="t" focussize="0,0"/>
                  <v:stroke weight="0.5pt" color="#17375E [2415]" joinstyle="round"/>
                  <v:imagedata o:title=""/>
                  <o:lock v:ext="edit" aspectratio="f"/>
                  <v:textbox>
                    <w:txbxContent>
                      <w:p>
                        <w:pPr>
                          <w:jc w:val="center"/>
                          <w:rPr>
                            <w:rFonts w:ascii="Times New Roman" w:hAnsi="Times New Roman" w:cs="Times New Roman"/>
                            <w:u w:val="single"/>
                          </w:rPr>
                        </w:pPr>
                        <w:r>
                          <w:rPr>
                            <w:rFonts w:ascii="Times New Roman" w:hAnsi="Times New Roman" w:cs="Times New Roman"/>
                            <w:u w:val="single"/>
                          </w:rPr>
                          <w:t>Moderating Effect</w:t>
                        </w:r>
                      </w:p>
                      <w:p>
                        <w:pPr>
                          <w:jc w:val="center"/>
                          <w:rPr>
                            <w:rFonts w:ascii="Times New Roman" w:hAnsi="Times New Roman" w:cs="Times New Roman"/>
                          </w:rPr>
                        </w:pPr>
                        <w:r>
                          <w:rPr>
                            <w:rFonts w:ascii="Times New Roman" w:hAnsi="Times New Roman" w:cs="Times New Roman"/>
                          </w:rPr>
                          <w:t>Affordability</w:t>
                        </w:r>
                      </w:p>
                    </w:txbxContent>
                  </v:textbox>
                </v:shape>
                <v:shape id="_x0000_s1026" o:spid="_x0000_s1026" o:spt="202" type="#_x0000_t202" style="position:absolute;left:3009900;top:1;height:1171574;width:1651000;" fillcolor="#FFFFFF" filled="t" stroked="t" coordsize="21600,21600" o:gfxdata="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wawxvQAA&#10;ANsAAAAPAAAAAAAAAAEAIAAAACIAAABkcnMvZG93bnJldi54bWxQSwECFAAUAAAACACHTuJAMy8F&#10;njsAAAA5AAAAEAAAAAAAAAABACAAAAAMAQAAZHJzL3NoYXBleG1sLnhtbFBLBQYAAAAABgAGAFsB&#10;AAC2AwAAAAA=&#10;">
                  <v:fill on="t" focussize="0,0"/>
                  <v:stroke weight="0.5pt" color="#17375E [2415]" joinstyle="round"/>
                  <v:imagedata o:title=""/>
                  <o:lock v:ext="edit" aspectratio="f"/>
                  <v:textbox>
                    <w:txbxContent>
                      <w:p>
                        <w:pPr>
                          <w:jc w:val="center"/>
                          <w:rPr>
                            <w:rFonts w:ascii="Times New Roman" w:hAnsi="Times New Roman" w:cs="Times New Roman"/>
                            <w:u w:val="single"/>
                          </w:rPr>
                        </w:pPr>
                        <w:r>
                          <w:rPr>
                            <w:rFonts w:ascii="Times New Roman" w:hAnsi="Times New Roman" w:cs="Times New Roman"/>
                            <w:u w:val="single"/>
                          </w:rPr>
                          <w:t>Dependent Variable</w:t>
                        </w:r>
                      </w:p>
                      <w:p>
                        <w:pPr>
                          <w:jc w:val="center"/>
                          <w:rPr>
                            <w:rFonts w:ascii="Times New Roman" w:hAnsi="Times New Roman" w:cs="Times New Roman"/>
                          </w:rPr>
                        </w:pPr>
                        <w:r>
                          <w:rPr>
                            <w:rFonts w:ascii="Times New Roman" w:hAnsi="Times New Roman" w:cs="Times New Roman"/>
                          </w:rPr>
                          <w:t>Consumer Purchasing Intention</w:t>
                        </w:r>
                      </w:p>
                    </w:txbxContent>
                  </v:textbox>
                </v:shape>
                <v:shape id="_x0000_s1026" o:spid="_x0000_s1026" o:spt="32" type="#_x0000_t32" style="position:absolute;left:1651000;top:647700;flip:y;height:6350;width:1358900;" filled="f" stroked="t" coordsize="21600,21600" o:gfxdata="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QlgvvQAA&#10;ANsAAAAPAAAAAAAAAAEAIAAAACIAAABkcnMvZG93bnJldi54bWxQSwECFAAUAAAACACHTuJAMy8F&#10;njsAAAA5AAAAEAAAAAAAAAABACAAAAAMAQAAZHJzL3NoYXBleG1sLnhtbFBLBQYAAAAABgAGAFsB&#10;AAC2AwAAAAA=&#10;">
                  <v:fill on="f" focussize="0,0"/>
                  <v:stroke color="#000000 [3200]" joinstyle="round" endarrow="open"/>
                  <v:imagedata o:title=""/>
                  <o:lock v:ext="edit" aspectratio="f"/>
                </v:shape>
                <v:shape id="_x0000_s1026" o:spid="_x0000_s1026" o:spt="32" type="#_x0000_t32" style="position:absolute;left:2336800;top:647700;flip:x y;height:869950;width:19050;" filled="f" stroked="t" coordsize="21600,21600" o:gfxdata="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1ARoC5AAAA2wAA&#10;AA8AAAAAAAAAAQAgAAAAIgAAAGRycy9kb3ducmV2LnhtbFBLAQIUABQAAAAIAIdO4kAzLwWeOwAA&#10;ADkAAAAQAAAAAAAAAAEAIAAAAAgBAABkcnMvc2hhcGV4bWwueG1sUEsFBgAAAAAGAAYAWwEAALID&#10;AAAAAA==&#10;">
                  <v:fill on="f" focussize="0,0"/>
                  <v:stroke color="#000000 [3200]" joinstyle="round" endarrow="open"/>
                  <v:imagedata o:title=""/>
                  <o:lock v:ext="edit" aspectratio="f"/>
                </v:shape>
              </v:group>
            </w:pict>
          </mc:Fallback>
        </mc:AlternateContent>
      </w:r>
    </w:p>
    <w:p>
      <w:pPr>
        <w:pStyle w:val="8"/>
        <w:spacing w:after="0" w:line="360" w:lineRule="auto"/>
        <w:jc w:val="both"/>
        <w:rPr>
          <w:rFonts w:ascii="Times New Roman" w:hAnsi="Times New Roman" w:cs="Times New Roman"/>
          <w:sz w:val="24"/>
          <w:szCs w:val="24"/>
        </w:rPr>
      </w:pPr>
    </w:p>
    <w:p>
      <w:pPr>
        <w:pStyle w:val="8"/>
        <w:spacing w:line="360" w:lineRule="auto"/>
        <w:jc w:val="both"/>
        <w:rPr>
          <w:rFonts w:ascii="Times New Roman" w:hAnsi="Times New Roman" w:cs="Times New Roman"/>
          <w:iCs/>
          <w:color w:val="auto"/>
          <w:sz w:val="24"/>
          <w:szCs w:val="24"/>
        </w:rPr>
      </w:pPr>
      <w:bookmarkStart w:id="2" w:name="_Toc140226189"/>
    </w:p>
    <w:p>
      <w:pPr>
        <w:pStyle w:val="8"/>
        <w:spacing w:line="360" w:lineRule="auto"/>
        <w:jc w:val="both"/>
        <w:rPr>
          <w:rFonts w:ascii="Times New Roman" w:hAnsi="Times New Roman" w:cs="Times New Roman"/>
          <w:iCs/>
          <w:color w:val="auto"/>
          <w:sz w:val="24"/>
          <w:szCs w:val="24"/>
        </w:rPr>
      </w:pPr>
    </w:p>
    <w:p>
      <w:pPr>
        <w:pStyle w:val="8"/>
        <w:spacing w:line="360" w:lineRule="auto"/>
        <w:jc w:val="both"/>
        <w:rPr>
          <w:rFonts w:ascii="Times New Roman" w:hAnsi="Times New Roman" w:cs="Times New Roman"/>
          <w:iCs/>
          <w:color w:val="auto"/>
          <w:sz w:val="24"/>
          <w:szCs w:val="24"/>
        </w:rPr>
      </w:pPr>
    </w:p>
    <w:p>
      <w:pPr>
        <w:pStyle w:val="8"/>
        <w:spacing w:line="360" w:lineRule="auto"/>
        <w:jc w:val="both"/>
        <w:rPr>
          <w:rFonts w:ascii="Times New Roman" w:hAnsi="Times New Roman" w:cs="Times New Roman"/>
          <w:iCs/>
          <w:color w:val="auto"/>
          <w:sz w:val="24"/>
          <w:szCs w:val="24"/>
        </w:rPr>
      </w:pPr>
    </w:p>
    <w:p>
      <w:pPr>
        <w:pStyle w:val="8"/>
        <w:spacing w:line="360" w:lineRule="auto"/>
        <w:jc w:val="both"/>
        <w:rPr>
          <w:rFonts w:ascii="Times New Roman" w:hAnsi="Times New Roman" w:cs="Times New Roman"/>
          <w:iCs/>
          <w:color w:val="auto"/>
          <w:sz w:val="24"/>
          <w:szCs w:val="24"/>
        </w:rPr>
      </w:pPr>
    </w:p>
    <w:p>
      <w:pPr>
        <w:pStyle w:val="8"/>
        <w:spacing w:line="360" w:lineRule="auto"/>
        <w:jc w:val="both"/>
        <w:rPr>
          <w:rFonts w:ascii="Times New Roman" w:hAnsi="Times New Roman" w:cs="Times New Roman"/>
          <w:iCs/>
          <w:color w:val="auto"/>
          <w:sz w:val="24"/>
          <w:szCs w:val="24"/>
        </w:rPr>
      </w:pPr>
      <w:r>
        <w:rPr>
          <w:rFonts w:ascii="Times New Roman" w:hAnsi="Times New Roman" w:cs="Times New Roman"/>
          <w:iCs/>
          <w:color w:val="auto"/>
          <w:sz w:val="24"/>
          <w:szCs w:val="24"/>
        </w:rPr>
        <w:t xml:space="preserve">Figure </w:t>
      </w:r>
      <w:r>
        <w:rPr>
          <w:rFonts w:ascii="Times New Roman" w:hAnsi="Times New Roman" w:cs="Times New Roman"/>
          <w:iCs/>
          <w:color w:val="auto"/>
          <w:sz w:val="24"/>
          <w:szCs w:val="24"/>
        </w:rPr>
        <w:fldChar w:fldCharType="begin"/>
      </w:r>
      <w:r>
        <w:rPr>
          <w:rFonts w:ascii="Times New Roman" w:hAnsi="Times New Roman" w:cs="Times New Roman"/>
          <w:iCs/>
          <w:color w:val="auto"/>
          <w:sz w:val="24"/>
          <w:szCs w:val="24"/>
        </w:rPr>
        <w:instrText xml:space="preserve"> SEQ Figure \* ARABIC </w:instrText>
      </w:r>
      <w:r>
        <w:rPr>
          <w:rFonts w:ascii="Times New Roman" w:hAnsi="Times New Roman" w:cs="Times New Roman"/>
          <w:iCs/>
          <w:color w:val="auto"/>
          <w:sz w:val="24"/>
          <w:szCs w:val="24"/>
        </w:rPr>
        <w:fldChar w:fldCharType="separate"/>
      </w:r>
      <w:r>
        <w:rPr>
          <w:rFonts w:ascii="Times New Roman" w:hAnsi="Times New Roman" w:cs="Times New Roman"/>
          <w:iCs/>
          <w:color w:val="auto"/>
          <w:sz w:val="24"/>
          <w:szCs w:val="24"/>
        </w:rPr>
        <w:t>1</w:t>
      </w:r>
      <w:r>
        <w:rPr>
          <w:rFonts w:ascii="Times New Roman" w:hAnsi="Times New Roman" w:cs="Times New Roman"/>
          <w:iCs/>
          <w:color w:val="auto"/>
          <w:sz w:val="24"/>
          <w:szCs w:val="24"/>
        </w:rPr>
        <w:fldChar w:fldCharType="end"/>
      </w:r>
      <w:r>
        <w:rPr>
          <w:rFonts w:ascii="Times New Roman" w:hAnsi="Times New Roman" w:cs="Times New Roman"/>
          <w:iCs/>
          <w:color w:val="auto"/>
          <w:sz w:val="24"/>
          <w:szCs w:val="24"/>
        </w:rPr>
        <w:t xml:space="preserve"> - Conceptual Framework</w:t>
      </w:r>
      <w:bookmarkEnd w:id="2"/>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study comprises fourteen factors that will align with the primary four independent variables. These independent variables include location, price and legal implications.</w:t>
      </w: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pStyle w:val="8"/>
        <w:keepNext/>
        <w:rPr>
          <w:rFonts w:ascii="Times New Roman" w:hAnsi="Times New Roman" w:cs="Times New Roman"/>
          <w:color w:val="auto"/>
          <w:sz w:val="24"/>
          <w:szCs w:val="24"/>
        </w:rPr>
      </w:pPr>
      <w:r>
        <w:rPr>
          <w:rFonts w:ascii="Times New Roman" w:hAnsi="Times New Roman" w:cs="Times New Roman"/>
          <w:color w:val="auto"/>
          <w:sz w:val="24"/>
          <w:szCs w:val="24"/>
        </w:rPr>
        <w:t xml:space="preserve">Table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2</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Operationalization </w:t>
      </w:r>
    </w:p>
    <w:tbl>
      <w:tblPr>
        <w:tblStyle w:val="6"/>
        <w:tblW w:w="7990" w:type="dxa"/>
        <w:tblInd w:w="0" w:type="dxa"/>
        <w:tblLayout w:type="fixed"/>
        <w:tblCellMar>
          <w:top w:w="15" w:type="dxa"/>
          <w:left w:w="15" w:type="dxa"/>
          <w:bottom w:w="15" w:type="dxa"/>
          <w:right w:w="15" w:type="dxa"/>
        </w:tblCellMar>
      </w:tblPr>
      <w:tblGrid>
        <w:gridCol w:w="1270"/>
        <w:gridCol w:w="1260"/>
        <w:gridCol w:w="2700"/>
        <w:gridCol w:w="2760"/>
      </w:tblGrid>
      <w:tr>
        <w:tblPrEx>
          <w:tblCellMar>
            <w:top w:w="15" w:type="dxa"/>
            <w:left w:w="15" w:type="dxa"/>
            <w:bottom w:w="15" w:type="dxa"/>
            <w:right w:w="15" w:type="dxa"/>
          </w:tblCellMar>
        </w:tblPrEx>
        <w:trPr>
          <w:trHeight w:val="437" w:hRule="atLeast"/>
        </w:trPr>
        <w:tc>
          <w:tcPr>
            <w:tcW w:w="1270" w:type="dxa"/>
            <w:tcBorders>
              <w:top w:val="double" w:color="auto" w:sz="4"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b/>
                <w:bCs/>
                <w:color w:val="000000"/>
                <w:szCs w:val="19"/>
              </w:rPr>
              <w:t>Concept</w:t>
            </w:r>
          </w:p>
        </w:tc>
        <w:tc>
          <w:tcPr>
            <w:tcW w:w="1260" w:type="dxa"/>
            <w:tcBorders>
              <w:top w:val="double" w:color="auto" w:sz="4"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b/>
                <w:bCs/>
                <w:color w:val="000000"/>
                <w:szCs w:val="19"/>
              </w:rPr>
              <w:t>Variable</w:t>
            </w:r>
          </w:p>
        </w:tc>
        <w:tc>
          <w:tcPr>
            <w:tcW w:w="2700" w:type="dxa"/>
            <w:tcBorders>
              <w:top w:val="double" w:color="auto" w:sz="4"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b/>
                <w:bCs/>
                <w:color w:val="000000"/>
                <w:szCs w:val="19"/>
              </w:rPr>
              <w:t>Measurement Indicator</w:t>
            </w:r>
          </w:p>
        </w:tc>
        <w:tc>
          <w:tcPr>
            <w:tcW w:w="2760" w:type="dxa"/>
            <w:tcBorders>
              <w:top w:val="double" w:color="auto" w:sz="4"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Cs w:val="19"/>
              </w:rPr>
            </w:pPr>
            <w:r>
              <w:rPr>
                <w:rFonts w:ascii="Times New Roman" w:hAnsi="Times New Roman" w:eastAsia="Times New Roman" w:cs="Times New Roman"/>
                <w:b/>
                <w:bCs/>
                <w:color w:val="000000"/>
                <w:szCs w:val="19"/>
              </w:rPr>
              <w:t>Sources</w:t>
            </w:r>
          </w:p>
        </w:tc>
      </w:tr>
      <w:tr>
        <w:tblPrEx>
          <w:tblCellMar>
            <w:top w:w="15" w:type="dxa"/>
            <w:left w:w="15" w:type="dxa"/>
            <w:bottom w:w="15" w:type="dxa"/>
            <w:right w:w="15" w:type="dxa"/>
          </w:tblCellMar>
        </w:tblPrEx>
        <w:trPr>
          <w:trHeight w:val="379" w:hRule="atLeast"/>
        </w:trPr>
        <w:tc>
          <w:tcPr>
            <w:tcW w:w="1270" w:type="dxa"/>
            <w:vMerge w:val="restart"/>
            <w:tcBorders>
              <w:top w:val="double" w:color="auto" w:sz="4" w:space="0"/>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Determinants of the demand</w:t>
            </w: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tc>
        <w:tc>
          <w:tcPr>
            <w:tcW w:w="1260" w:type="dxa"/>
            <w:vMerge w:val="restart"/>
            <w:tcBorders>
              <w:top w:val="double" w:color="auto" w:sz="4" w:space="0"/>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Location</w:t>
            </w:r>
          </w:p>
        </w:tc>
        <w:tc>
          <w:tcPr>
            <w:tcW w:w="2700" w:type="dxa"/>
            <w:tcBorders>
              <w:top w:val="double" w:color="auto" w:sz="4"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Access to public and private institution</w:t>
            </w:r>
          </w:p>
        </w:tc>
        <w:tc>
          <w:tcPr>
            <w:tcW w:w="2760" w:type="dxa"/>
            <w:tcBorders>
              <w:top w:val="double" w:color="auto" w:sz="4"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color w:val="000000"/>
                <w:sz w:val="20"/>
                <w:szCs w:val="19"/>
              </w:rPr>
            </w:pPr>
            <w:r>
              <w:rPr>
                <w:rFonts w:ascii="Times New Roman" w:hAnsi="Times New Roman" w:eastAsia="Times New Roman" w:cs="Times New Roman"/>
                <w:color w:val="000000"/>
                <w:sz w:val="20"/>
                <w:szCs w:val="19"/>
              </w:rPr>
              <w:t xml:space="preserve">  </w:t>
            </w:r>
            <w:sdt>
              <w:sdtPr>
                <w:rPr>
                  <w:rFonts w:ascii="Times New Roman" w:hAnsi="Times New Roman" w:eastAsia="Times New Roman" w:cs="Times New Roman"/>
                  <w:color w:val="000000"/>
                  <w:sz w:val="20"/>
                  <w:szCs w:val="19"/>
                </w:rPr>
                <w:id w:val="1623034419"/>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CITATION Placeholder1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(Małgorzata Rymarzak; Ewa Siemin´ska, 2012)</w:t>
                </w:r>
                <w:r>
                  <w:rPr>
                    <w:rFonts w:ascii="Times New Roman" w:hAnsi="Times New Roman" w:eastAsia="Times New Roman" w:cs="Times New Roman"/>
                    <w:color w:val="000000"/>
                    <w:sz w:val="20"/>
                    <w:szCs w:val="19"/>
                  </w:rPr>
                  <w:fldChar w:fldCharType="end"/>
                </w:r>
              </w:sdtContent>
            </w:sdt>
            <w:r>
              <w:rPr>
                <w:rFonts w:ascii="Times New Roman" w:hAnsi="Times New Roman" w:eastAsia="Times New Roman" w:cs="Times New Roman"/>
                <w:color w:val="000000"/>
                <w:sz w:val="20"/>
                <w:szCs w:val="19"/>
              </w:rPr>
              <w:t>     </w:t>
            </w:r>
          </w:p>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color w:val="000000"/>
                  <w:sz w:val="20"/>
                  <w:szCs w:val="19"/>
                </w:rPr>
                <w:id w:val="-1330912838"/>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CITATION Placeholder2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(Alicia Llorca; Laura Fernandez-Duran; S. Valero; V. Botti, 2014)</w:t>
                </w:r>
                <w:r>
                  <w:rPr>
                    <w:rFonts w:ascii="Times New Roman" w:hAnsi="Times New Roman" w:eastAsia="Times New Roman" w:cs="Times New Roman"/>
                    <w:color w:val="000000"/>
                    <w:sz w:val="20"/>
                    <w:szCs w:val="19"/>
                  </w:rPr>
                  <w:fldChar w:fldCharType="end"/>
                </w:r>
              </w:sdtContent>
            </w:sdt>
            <w:r>
              <w:rPr>
                <w:rFonts w:ascii="Times New Roman" w:hAnsi="Times New Roman" w:eastAsia="Times New Roman" w:cs="Times New Roman"/>
                <w:color w:val="000000"/>
                <w:sz w:val="20"/>
                <w:szCs w:val="19"/>
              </w:rPr>
              <w:t xml:space="preserve">    </w:t>
            </w:r>
            <w:r>
              <w:rPr>
                <w:rFonts w:ascii="Times New Roman" w:hAnsi="Times New Roman" w:eastAsia="Times New Roman" w:cs="Times New Roman"/>
                <w:color w:val="000000"/>
                <w:sz w:val="20"/>
                <w:szCs w:val="19"/>
              </w:rPr>
              <w:tab/>
            </w:r>
          </w:p>
        </w:tc>
      </w:tr>
      <w:tr>
        <w:tblPrEx>
          <w:tblCellMar>
            <w:top w:w="15" w:type="dxa"/>
            <w:left w:w="15" w:type="dxa"/>
            <w:bottom w:w="15" w:type="dxa"/>
            <w:right w:w="15" w:type="dxa"/>
          </w:tblCellMar>
        </w:tblPrEx>
        <w:trPr>
          <w:trHeight w:val="243"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View</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sz w:val="20"/>
                  <w:szCs w:val="19"/>
                </w:rPr>
                <w:id w:val="1073853951"/>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sz w:val="20"/>
                    <w:szCs w:val="19"/>
                  </w:rPr>
                  <w:instrText xml:space="preserve"> CITATION SAN16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sz w:val="20"/>
                    <w:szCs w:val="19"/>
                  </w:rPr>
                  <w:t>(SAN, 2016)</w:t>
                </w:r>
                <w:r>
                  <w:rPr>
                    <w:rFonts w:ascii="Times New Roman" w:hAnsi="Times New Roman" w:eastAsia="Times New Roman" w:cs="Times New Roman"/>
                    <w:sz w:val="20"/>
                    <w:szCs w:val="19"/>
                  </w:rPr>
                  <w:fldChar w:fldCharType="end"/>
                </w:r>
              </w:sdtContent>
            </w:sdt>
          </w:p>
        </w:tc>
      </w:tr>
      <w:tr>
        <w:tblPrEx>
          <w:tblCellMar>
            <w:top w:w="15" w:type="dxa"/>
            <w:left w:w="15" w:type="dxa"/>
            <w:bottom w:w="15" w:type="dxa"/>
            <w:right w:w="15" w:type="dxa"/>
          </w:tblCellMar>
        </w:tblPrEx>
        <w:trPr>
          <w:trHeight w:val="243"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Surrounding</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sz w:val="20"/>
                  <w:szCs w:val="19"/>
                </w:rPr>
                <w:id w:val="-1950150375"/>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color w:val="000000"/>
                    <w:sz w:val="20"/>
                    <w:szCs w:val="19"/>
                  </w:rPr>
                  <w:instrText xml:space="preserve"> CITATION SAN16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color w:val="000000"/>
                    <w:sz w:val="20"/>
                    <w:szCs w:val="19"/>
                  </w:rPr>
                  <w:t>(SAN, 2016)</w:t>
                </w:r>
                <w:r>
                  <w:rPr>
                    <w:rFonts w:ascii="Times New Roman" w:hAnsi="Times New Roman" w:eastAsia="Times New Roman" w:cs="Times New Roman"/>
                    <w:sz w:val="20"/>
                    <w:szCs w:val="19"/>
                  </w:rPr>
                  <w:fldChar w:fldCharType="end"/>
                </w:r>
              </w:sdtContent>
            </w:sdt>
            <w:r>
              <w:rPr>
                <w:rFonts w:ascii="Times New Roman" w:hAnsi="Times New Roman" w:eastAsia="Times New Roman" w:cs="Times New Roman"/>
                <w:sz w:val="20"/>
                <w:szCs w:val="19"/>
              </w:rPr>
              <w:t xml:space="preserve"> </w:t>
            </w:r>
            <w:sdt>
              <w:sdtPr>
                <w:rPr>
                  <w:rFonts w:ascii="Times New Roman" w:hAnsi="Times New Roman" w:eastAsia="Times New Roman" w:cs="Times New Roman"/>
                  <w:sz w:val="20"/>
                  <w:szCs w:val="19"/>
                </w:rPr>
                <w:id w:val="267205375"/>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sz w:val="20"/>
                    <w:szCs w:val="19"/>
                  </w:rPr>
                  <w:instrText xml:space="preserve">CITATION Placeholder3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sz w:val="20"/>
                    <w:szCs w:val="19"/>
                  </w:rPr>
                  <w:t>(Andrey Pavlov; George W. Blazenko , 2005)</w:t>
                </w:r>
                <w:r>
                  <w:rPr>
                    <w:rFonts w:ascii="Times New Roman" w:hAnsi="Times New Roman" w:eastAsia="Times New Roman" w:cs="Times New Roman"/>
                    <w:sz w:val="20"/>
                    <w:szCs w:val="19"/>
                  </w:rPr>
                  <w:fldChar w:fldCharType="end"/>
                </w:r>
              </w:sdtContent>
            </w:sdt>
          </w:p>
        </w:tc>
      </w:tr>
      <w:tr>
        <w:tblPrEx>
          <w:tblCellMar>
            <w:top w:w="15" w:type="dxa"/>
            <w:left w:w="15" w:type="dxa"/>
            <w:bottom w:w="15" w:type="dxa"/>
            <w:right w:w="15" w:type="dxa"/>
          </w:tblCellMar>
        </w:tblPrEx>
        <w:trPr>
          <w:trHeight w:val="243"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Transport availability</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60454849"/>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CITATION Placeholder1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(Małgorzata Rymarzak; Ewa Siemin´ska, 2012)</w:t>
                </w:r>
                <w:r>
                  <w:rPr>
                    <w:rFonts w:ascii="Times New Roman" w:hAnsi="Times New Roman" w:eastAsia="Times New Roman" w:cs="Times New Roman"/>
                    <w:color w:val="000000"/>
                    <w:sz w:val="20"/>
                    <w:szCs w:val="19"/>
                  </w:rPr>
                  <w:fldChar w:fldCharType="end"/>
                </w:r>
              </w:sdtContent>
            </w:sdt>
          </w:p>
        </w:tc>
      </w:tr>
      <w:tr>
        <w:tblPrEx>
          <w:tblCellMar>
            <w:top w:w="15" w:type="dxa"/>
            <w:left w:w="15" w:type="dxa"/>
            <w:bottom w:w="15" w:type="dxa"/>
            <w:right w:w="15" w:type="dxa"/>
          </w:tblCellMar>
        </w:tblPrEx>
        <w:trPr>
          <w:trHeight w:val="1040"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restart"/>
            <w:tcBorders>
              <w:top w:val="single" w:color="000000" w:sz="8" w:space="0"/>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Price</w:t>
            </w: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Credit availability</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color w:val="000000"/>
                <w:sz w:val="20"/>
                <w:szCs w:val="19"/>
              </w:rPr>
            </w:pPr>
            <w:sdt>
              <w:sdtPr>
                <w:rPr>
                  <w:rFonts w:ascii="Times New Roman" w:hAnsi="Times New Roman" w:eastAsia="Times New Roman" w:cs="Times New Roman"/>
                  <w:color w:val="000000"/>
                  <w:sz w:val="20"/>
                  <w:szCs w:val="19"/>
                </w:rPr>
                <w:id w:val="1564447925"/>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 CITATION BIS05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(Papers, 2005)</w:t>
                </w:r>
                <w:r>
                  <w:rPr>
                    <w:rFonts w:ascii="Times New Roman" w:hAnsi="Times New Roman" w:eastAsia="Times New Roman" w:cs="Times New Roman"/>
                    <w:color w:val="000000"/>
                    <w:sz w:val="20"/>
                    <w:szCs w:val="19"/>
                  </w:rPr>
                  <w:fldChar w:fldCharType="end"/>
                </w:r>
              </w:sdtContent>
            </w:sdt>
          </w:p>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sz w:val="20"/>
                  <w:szCs w:val="19"/>
                </w:rPr>
                <w:id w:val="-1729602218"/>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color w:val="000000"/>
                    <w:sz w:val="20"/>
                    <w:szCs w:val="19"/>
                  </w:rPr>
                  <w:instrText xml:space="preserve">CITATION Placeholder4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sz w:val="20"/>
                    <w:szCs w:val="19"/>
                  </w:rPr>
                  <w:t>( Wensheng Peng; Jiming Ha; Cynthia Leung ; Kelvin Fan, 2003)</w:t>
                </w:r>
                <w:r>
                  <w:rPr>
                    <w:rFonts w:ascii="Times New Roman" w:hAnsi="Times New Roman" w:eastAsia="Times New Roman" w:cs="Times New Roman"/>
                    <w:sz w:val="20"/>
                    <w:szCs w:val="19"/>
                  </w:rPr>
                  <w:fldChar w:fldCharType="end"/>
                </w:r>
              </w:sdtContent>
            </w:sdt>
          </w:p>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sz w:val="20"/>
                  <w:szCs w:val="19"/>
                </w:rPr>
                <w:id w:val="279225494"/>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sz w:val="20"/>
                    <w:szCs w:val="19"/>
                  </w:rPr>
                  <w:instrText xml:space="preserve"> CITATION Meh16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sz w:val="20"/>
                    <w:szCs w:val="19"/>
                  </w:rPr>
                  <w:t>(Mehrhoff, 2016)</w:t>
                </w:r>
                <w:r>
                  <w:rPr>
                    <w:rFonts w:ascii="Times New Roman" w:hAnsi="Times New Roman" w:eastAsia="Times New Roman" w:cs="Times New Roman"/>
                    <w:sz w:val="20"/>
                    <w:szCs w:val="19"/>
                  </w:rPr>
                  <w:fldChar w:fldCharType="end"/>
                </w:r>
              </w:sdtContent>
            </w:sdt>
          </w:p>
        </w:tc>
      </w:tr>
      <w:tr>
        <w:tblPrEx>
          <w:tblCellMar>
            <w:top w:w="15" w:type="dxa"/>
            <w:left w:w="15" w:type="dxa"/>
            <w:bottom w:w="15" w:type="dxa"/>
            <w:right w:w="15" w:type="dxa"/>
          </w:tblCellMar>
        </w:tblPrEx>
        <w:trPr>
          <w:trHeight w:val="379"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Mortgage interest rate</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color w:val="000000"/>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1101413273"/>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 CITATION Cav16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(Cava, 2016)</w:t>
                </w:r>
                <w:r>
                  <w:rPr>
                    <w:rFonts w:ascii="Times New Roman" w:hAnsi="Times New Roman" w:eastAsia="Times New Roman" w:cs="Times New Roman"/>
                    <w:color w:val="000000"/>
                    <w:sz w:val="20"/>
                    <w:szCs w:val="19"/>
                  </w:rPr>
                  <w:fldChar w:fldCharType="end"/>
                </w:r>
              </w:sdtContent>
            </w:sdt>
          </w:p>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sz w:val="20"/>
                  <w:szCs w:val="19"/>
                </w:rPr>
                <w:id w:val="598142453"/>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color w:val="000000"/>
                    <w:sz w:val="20"/>
                    <w:szCs w:val="19"/>
                  </w:rPr>
                  <w:instrText xml:space="preserve">CITATION Placeholder5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sz w:val="20"/>
                    <w:szCs w:val="19"/>
                  </w:rPr>
                  <w:t>(Chang Chen; Haoyu Zhai; Zhiruo Wang; Shen Ma; Jie Sun; Chengliang Wu;Yang Zhang, 2021)</w:t>
                </w:r>
                <w:r>
                  <w:rPr>
                    <w:rFonts w:ascii="Times New Roman" w:hAnsi="Times New Roman" w:eastAsia="Times New Roman" w:cs="Times New Roman"/>
                    <w:sz w:val="20"/>
                    <w:szCs w:val="19"/>
                  </w:rPr>
                  <w:fldChar w:fldCharType="end"/>
                </w:r>
              </w:sdtContent>
            </w:sdt>
          </w:p>
        </w:tc>
      </w:tr>
      <w:tr>
        <w:tblPrEx>
          <w:tblCellMar>
            <w:top w:w="15" w:type="dxa"/>
            <w:left w:w="15" w:type="dxa"/>
            <w:bottom w:w="15" w:type="dxa"/>
            <w:right w:w="15" w:type="dxa"/>
          </w:tblCellMar>
        </w:tblPrEx>
        <w:trPr>
          <w:trHeight w:val="1032"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Reasonableness of the Price</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sz w:val="20"/>
                  <w:szCs w:val="19"/>
                </w:rPr>
                <w:id w:val="1508713634"/>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sz w:val="20"/>
                    <w:szCs w:val="19"/>
                  </w:rPr>
                  <w:instrText xml:space="preserve"> CITATION Meh16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sz w:val="20"/>
                    <w:szCs w:val="19"/>
                  </w:rPr>
                  <w:t>(Mehrhoff, 2016)</w:t>
                </w:r>
                <w:r>
                  <w:rPr>
                    <w:rFonts w:ascii="Times New Roman" w:hAnsi="Times New Roman" w:eastAsia="Times New Roman" w:cs="Times New Roman"/>
                    <w:sz w:val="20"/>
                    <w:szCs w:val="19"/>
                  </w:rPr>
                  <w:fldChar w:fldCharType="end"/>
                </w:r>
              </w:sdtContent>
            </w:sdt>
          </w:p>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sz w:val="20"/>
                  <w:szCs w:val="19"/>
                </w:rPr>
                <w:id w:val="-1069964696"/>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sz w:val="20"/>
                    <w:szCs w:val="19"/>
                  </w:rPr>
                  <w:instrText xml:space="preserve">CITATION Placeholder4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sz w:val="20"/>
                    <w:szCs w:val="19"/>
                  </w:rPr>
                  <w:t>( Wensheng Peng; Jiming Ha; Cynthia Leung ; Kelvin Fan, 2003)</w:t>
                </w:r>
                <w:r>
                  <w:rPr>
                    <w:rFonts w:ascii="Times New Roman" w:hAnsi="Times New Roman" w:eastAsia="Times New Roman" w:cs="Times New Roman"/>
                    <w:sz w:val="20"/>
                    <w:szCs w:val="19"/>
                  </w:rPr>
                  <w:fldChar w:fldCharType="end"/>
                </w:r>
              </w:sdtContent>
            </w:sdt>
          </w:p>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sz w:val="20"/>
                  <w:szCs w:val="19"/>
                </w:rPr>
                <w:id w:val="1914976972"/>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sz w:val="20"/>
                    <w:szCs w:val="19"/>
                  </w:rPr>
                  <w:instrText xml:space="preserve"> CITATION Cen20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sz w:val="20"/>
                    <w:szCs w:val="19"/>
                  </w:rPr>
                  <w:t>(Lanka C. b., 2020)</w:t>
                </w:r>
                <w:r>
                  <w:rPr>
                    <w:rFonts w:ascii="Times New Roman" w:hAnsi="Times New Roman" w:eastAsia="Times New Roman" w:cs="Times New Roman"/>
                    <w:sz w:val="20"/>
                    <w:szCs w:val="19"/>
                  </w:rPr>
                  <w:fldChar w:fldCharType="end"/>
                </w:r>
              </w:sdtContent>
            </w:sdt>
          </w:p>
        </w:tc>
      </w:tr>
      <w:tr>
        <w:tblPrEx>
          <w:tblCellMar>
            <w:top w:w="15" w:type="dxa"/>
            <w:left w:w="15" w:type="dxa"/>
            <w:bottom w:w="15" w:type="dxa"/>
            <w:right w:w="15" w:type="dxa"/>
          </w:tblCellMar>
        </w:tblPrEx>
        <w:trPr>
          <w:trHeight w:val="915"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Cost of Development</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113986378"/>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CITATION Placeholder6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(Jiangtao Li 1; Jianyue Ji 2; Huiwen Guo; and Lei Chen, 2018)</w:t>
                </w:r>
                <w:r>
                  <w:rPr>
                    <w:rFonts w:ascii="Times New Roman" w:hAnsi="Times New Roman" w:eastAsia="Times New Roman" w:cs="Times New Roman"/>
                    <w:color w:val="000000"/>
                    <w:sz w:val="20"/>
                    <w:szCs w:val="19"/>
                  </w:rPr>
                  <w:fldChar w:fldCharType="end"/>
                </w:r>
              </w:sdtContent>
            </w:sdt>
          </w:p>
        </w:tc>
      </w:tr>
      <w:tr>
        <w:tblPrEx>
          <w:tblCellMar>
            <w:top w:w="15" w:type="dxa"/>
            <w:left w:w="15" w:type="dxa"/>
            <w:bottom w:w="15" w:type="dxa"/>
            <w:right w:w="15" w:type="dxa"/>
          </w:tblCellMar>
        </w:tblPrEx>
        <w:trPr>
          <w:trHeight w:val="324"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restart"/>
            <w:tcBorders>
              <w:top w:val="single" w:color="000000" w:sz="8" w:space="0"/>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Legal Factors</w:t>
            </w: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Clear Documentation</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p>
        </w:tc>
      </w:tr>
      <w:tr>
        <w:tblPrEx>
          <w:tblCellMar>
            <w:top w:w="15" w:type="dxa"/>
            <w:left w:w="15" w:type="dxa"/>
            <w:bottom w:w="15" w:type="dxa"/>
            <w:right w:w="15" w:type="dxa"/>
          </w:tblCellMar>
        </w:tblPrEx>
        <w:trPr>
          <w:trHeight w:val="1338"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Compulsory payment which attached to the property (Stamp duty / Capital gain / local authorities’ taxes and Rates / other taxes and relevant statutes)</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p>
        </w:tc>
      </w:tr>
      <w:tr>
        <w:tblPrEx>
          <w:tblCellMar>
            <w:top w:w="15" w:type="dxa"/>
            <w:left w:w="15" w:type="dxa"/>
            <w:bottom w:w="15" w:type="dxa"/>
            <w:right w:w="15" w:type="dxa"/>
          </w:tblCellMar>
        </w:tblPrEx>
        <w:trPr>
          <w:trHeight w:val="243"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Professional fees</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p>
        </w:tc>
      </w:tr>
      <w:tr>
        <w:tblPrEx>
          <w:tblCellMar>
            <w:top w:w="15" w:type="dxa"/>
            <w:left w:w="15" w:type="dxa"/>
            <w:bottom w:w="15" w:type="dxa"/>
            <w:right w:w="15" w:type="dxa"/>
          </w:tblCellMar>
        </w:tblPrEx>
        <w:trPr>
          <w:trHeight w:val="650"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restart"/>
            <w:tcBorders>
              <w:top w:val="single" w:color="000000" w:sz="8" w:space="0"/>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Services</w:t>
            </w: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Availability of water supply (Pipe borne water / well water / Tube well water)</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280497209"/>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 CITATION Mil04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(Mills, 2004)</w:t>
                </w:r>
                <w:r>
                  <w:rPr>
                    <w:rFonts w:ascii="Times New Roman" w:hAnsi="Times New Roman" w:eastAsia="Times New Roman" w:cs="Times New Roman"/>
                    <w:color w:val="000000"/>
                    <w:sz w:val="20"/>
                    <w:szCs w:val="19"/>
                  </w:rPr>
                  <w:fldChar w:fldCharType="end"/>
                </w:r>
              </w:sdtContent>
            </w:sdt>
          </w:p>
        </w:tc>
      </w:tr>
      <w:tr>
        <w:tblPrEx>
          <w:tblCellMar>
            <w:top w:w="15" w:type="dxa"/>
            <w:left w:w="15" w:type="dxa"/>
            <w:bottom w:w="15" w:type="dxa"/>
            <w:right w:w="15" w:type="dxa"/>
          </w:tblCellMar>
        </w:tblPrEx>
        <w:trPr>
          <w:trHeight w:val="379"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Availability of electricity supply</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48973619"/>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 CITATION Mil04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(Mills, 2004)</w:t>
                </w:r>
                <w:r>
                  <w:rPr>
                    <w:rFonts w:ascii="Times New Roman" w:hAnsi="Times New Roman" w:eastAsia="Times New Roman" w:cs="Times New Roman"/>
                    <w:color w:val="000000"/>
                    <w:sz w:val="20"/>
                    <w:szCs w:val="19"/>
                  </w:rPr>
                  <w:fldChar w:fldCharType="end"/>
                </w:r>
              </w:sdtContent>
            </w:sdt>
          </w:p>
        </w:tc>
      </w:tr>
      <w:tr>
        <w:tblPrEx>
          <w:tblCellMar>
            <w:top w:w="15" w:type="dxa"/>
            <w:left w:w="15" w:type="dxa"/>
            <w:bottom w:w="15" w:type="dxa"/>
            <w:right w:w="15" w:type="dxa"/>
          </w:tblCellMar>
        </w:tblPrEx>
        <w:trPr>
          <w:trHeight w:val="513" w:hRule="atLeast"/>
        </w:trPr>
        <w:tc>
          <w:tcPr>
            <w:tcW w:w="1270" w:type="dxa"/>
            <w:vMerge w:val="continue"/>
            <w:tcBorders>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Availability of telecommunication facility</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p>
        </w:tc>
      </w:tr>
      <w:tr>
        <w:tblPrEx>
          <w:tblCellMar>
            <w:top w:w="15" w:type="dxa"/>
            <w:left w:w="15" w:type="dxa"/>
            <w:bottom w:w="15" w:type="dxa"/>
            <w:right w:w="15" w:type="dxa"/>
          </w:tblCellMar>
        </w:tblPrEx>
        <w:trPr>
          <w:trHeight w:val="379" w:hRule="atLeast"/>
        </w:trPr>
        <w:tc>
          <w:tcPr>
            <w:tcW w:w="1270" w:type="dxa"/>
            <w:vMerge w:val="restart"/>
            <w:tcBorders>
              <w:top w:val="single" w:color="000000" w:sz="8" w:space="0"/>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Consumer Purchasing Intention</w:t>
            </w:r>
          </w:p>
          <w:p>
            <w:pPr>
              <w:spacing w:after="0" w:line="240" w:lineRule="auto"/>
              <w:jc w:val="center"/>
              <w:rPr>
                <w:rFonts w:ascii="Times New Roman" w:hAnsi="Times New Roman" w:eastAsia="Times New Roman" w:cs="Times New Roman"/>
                <w:szCs w:val="19"/>
              </w:rPr>
            </w:pPr>
          </w:p>
        </w:tc>
        <w:tc>
          <w:tcPr>
            <w:tcW w:w="1260" w:type="dxa"/>
            <w:vMerge w:val="restart"/>
            <w:tcBorders>
              <w:top w:val="single" w:color="000000" w:sz="8" w:space="0"/>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Consumer Purchasing Intention</w:t>
            </w:r>
          </w:p>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Future expectation on establishment</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p>
        </w:tc>
      </w:tr>
      <w:tr>
        <w:tblPrEx>
          <w:tblCellMar>
            <w:top w:w="15" w:type="dxa"/>
            <w:left w:w="15" w:type="dxa"/>
            <w:bottom w:w="15" w:type="dxa"/>
            <w:right w:w="15" w:type="dxa"/>
          </w:tblCellMar>
        </w:tblPrEx>
        <w:trPr>
          <w:trHeight w:val="379" w:hRule="atLeast"/>
        </w:trPr>
        <w:tc>
          <w:tcPr>
            <w:tcW w:w="1270" w:type="dxa"/>
            <w:vMerge w:val="continue"/>
            <w:tcBorders>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Maintenance of social status</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color w:val="000000"/>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764307801"/>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CITATION Placeholder7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(TonyLockwood; Neil TCoffee; PeterRossini; TheoNiyonsenga; StanleyMcGreal, 2018)</w:t>
                </w:r>
                <w:r>
                  <w:rPr>
                    <w:rFonts w:ascii="Times New Roman" w:hAnsi="Times New Roman" w:eastAsia="Times New Roman" w:cs="Times New Roman"/>
                    <w:color w:val="000000"/>
                    <w:sz w:val="20"/>
                    <w:szCs w:val="19"/>
                  </w:rPr>
                  <w:fldChar w:fldCharType="end"/>
                </w:r>
              </w:sdtContent>
            </w:sdt>
          </w:p>
          <w:p>
            <w:pPr>
              <w:spacing w:after="0" w:line="240" w:lineRule="auto"/>
              <w:rPr>
                <w:rFonts w:ascii="Times New Roman" w:hAnsi="Times New Roman" w:eastAsia="Times New Roman" w:cs="Times New Roman"/>
                <w:sz w:val="20"/>
                <w:szCs w:val="19"/>
              </w:rPr>
            </w:pPr>
            <w:sdt>
              <w:sdtPr>
                <w:rPr>
                  <w:rFonts w:ascii="Times New Roman" w:hAnsi="Times New Roman" w:eastAsia="Times New Roman" w:cs="Times New Roman"/>
                  <w:sz w:val="20"/>
                  <w:szCs w:val="19"/>
                </w:rPr>
                <w:id w:val="2146778931"/>
              </w:sdtPr>
              <w:sdtEndPr>
                <w:rPr>
                  <w:rFonts w:ascii="Times New Roman" w:hAnsi="Times New Roman" w:eastAsia="Times New Roman" w:cs="Times New Roman"/>
                  <w:sz w:val="20"/>
                  <w:szCs w:val="19"/>
                </w:rPr>
              </w:sdtEndPr>
              <w:sdtContent>
                <w:r>
                  <w:rPr>
                    <w:rFonts w:ascii="Times New Roman" w:hAnsi="Times New Roman" w:eastAsia="Times New Roman" w:cs="Times New Roman"/>
                    <w:sz w:val="20"/>
                    <w:szCs w:val="19"/>
                  </w:rPr>
                  <w:fldChar w:fldCharType="begin"/>
                </w:r>
                <w:r>
                  <w:rPr>
                    <w:rFonts w:ascii="Times New Roman" w:hAnsi="Times New Roman" w:eastAsia="Times New Roman" w:cs="Times New Roman"/>
                    <w:color w:val="000000"/>
                    <w:sz w:val="20"/>
                    <w:szCs w:val="19"/>
                  </w:rPr>
                  <w:instrText xml:space="preserve">CITATION Placeholder8 \l 1033 </w:instrText>
                </w:r>
                <w:r>
                  <w:rPr>
                    <w:rFonts w:ascii="Times New Roman" w:hAnsi="Times New Roman" w:eastAsia="Times New Roman" w:cs="Times New Roman"/>
                    <w:sz w:val="20"/>
                    <w:szCs w:val="19"/>
                  </w:rPr>
                  <w:fldChar w:fldCharType="separate"/>
                </w:r>
                <w:r>
                  <w:rPr>
                    <w:rFonts w:ascii="Times New Roman" w:hAnsi="Times New Roman" w:eastAsia="Times New Roman" w:cs="Times New Roman"/>
                    <w:sz w:val="20"/>
                    <w:szCs w:val="19"/>
                  </w:rPr>
                  <w:t>(R. G. Ariyawansa; M. A. N. R. M. Perera , 2018)</w:t>
                </w:r>
                <w:r>
                  <w:rPr>
                    <w:rFonts w:ascii="Times New Roman" w:hAnsi="Times New Roman" w:eastAsia="Times New Roman" w:cs="Times New Roman"/>
                    <w:sz w:val="20"/>
                    <w:szCs w:val="19"/>
                  </w:rPr>
                  <w:fldChar w:fldCharType="end"/>
                </w:r>
              </w:sdtContent>
            </w:sdt>
          </w:p>
        </w:tc>
      </w:tr>
      <w:tr>
        <w:tblPrEx>
          <w:tblCellMar>
            <w:top w:w="15" w:type="dxa"/>
            <w:left w:w="15" w:type="dxa"/>
            <w:bottom w:w="15" w:type="dxa"/>
            <w:right w:w="15" w:type="dxa"/>
          </w:tblCellMar>
        </w:tblPrEx>
        <w:trPr>
          <w:trHeight w:val="513" w:hRule="atLeast"/>
        </w:trPr>
        <w:tc>
          <w:tcPr>
            <w:tcW w:w="1270" w:type="dxa"/>
            <w:vMerge w:val="restart"/>
            <w:tcBorders>
              <w:top w:val="single" w:color="000000" w:sz="8" w:space="0"/>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Affordability of the Real estate (moderator)</w:t>
            </w: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tc>
        <w:tc>
          <w:tcPr>
            <w:tcW w:w="1260" w:type="dxa"/>
            <w:vMerge w:val="restart"/>
            <w:tcBorders>
              <w:top w:val="single" w:color="000000" w:sz="8" w:space="0"/>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Affordability of the Real estate (moderator)</w:t>
            </w: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Facilitating the financing</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938055410"/>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CITATION Placeholder9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(Rathnayaka R.M.K.B; Ariyawansa R.G;Endagamage Delipa, 2020)</w:t>
                </w:r>
                <w:r>
                  <w:rPr>
                    <w:rFonts w:ascii="Times New Roman" w:hAnsi="Times New Roman" w:eastAsia="Times New Roman" w:cs="Times New Roman"/>
                    <w:color w:val="000000"/>
                    <w:sz w:val="20"/>
                    <w:szCs w:val="19"/>
                  </w:rPr>
                  <w:fldChar w:fldCharType="end"/>
                </w:r>
              </w:sdtContent>
            </w:sdt>
          </w:p>
        </w:tc>
      </w:tr>
      <w:tr>
        <w:tblPrEx>
          <w:tblCellMar>
            <w:top w:w="15" w:type="dxa"/>
            <w:left w:w="15" w:type="dxa"/>
            <w:bottom w:w="15" w:type="dxa"/>
            <w:right w:w="15" w:type="dxa"/>
          </w:tblCellMar>
        </w:tblPrEx>
        <w:trPr>
          <w:trHeight w:val="243"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Transport Cost</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389504486"/>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CITATION Placeholder9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(Rathnayaka R.M.K.B; Ariyawansa R.G;Endagamage Delipa, 2020)</w:t>
                </w:r>
                <w:r>
                  <w:rPr>
                    <w:rFonts w:ascii="Times New Roman" w:hAnsi="Times New Roman" w:eastAsia="Times New Roman" w:cs="Times New Roman"/>
                    <w:color w:val="000000"/>
                    <w:sz w:val="20"/>
                    <w:szCs w:val="19"/>
                  </w:rPr>
                  <w:fldChar w:fldCharType="end"/>
                </w:r>
              </w:sdtContent>
            </w:sdt>
          </w:p>
        </w:tc>
      </w:tr>
      <w:tr>
        <w:tblPrEx>
          <w:tblCellMar>
            <w:top w:w="15" w:type="dxa"/>
            <w:left w:w="15" w:type="dxa"/>
            <w:bottom w:w="15" w:type="dxa"/>
            <w:right w:w="15" w:type="dxa"/>
          </w:tblCellMar>
        </w:tblPrEx>
        <w:trPr>
          <w:trHeight w:val="379" w:hRule="atLeast"/>
        </w:trPr>
        <w:tc>
          <w:tcPr>
            <w:tcW w:w="127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Professional fee and other charges</w:t>
            </w:r>
          </w:p>
        </w:tc>
        <w:tc>
          <w:tcPr>
            <w:tcW w:w="2760" w:type="dxa"/>
            <w:tcBorders>
              <w:top w:val="single" w:color="000000" w:sz="8" w:space="0"/>
              <w:left w:val="double" w:color="auto" w:sz="4" w:space="0"/>
              <w:bottom w:val="single" w:color="000000" w:sz="8"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1304459454"/>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CITATION Placeholder9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(Rathnayaka R.M.K.B; Ariyawansa R.G;Endagamage Delipa, 2020)</w:t>
                </w:r>
                <w:r>
                  <w:rPr>
                    <w:rFonts w:ascii="Times New Roman" w:hAnsi="Times New Roman" w:eastAsia="Times New Roman" w:cs="Times New Roman"/>
                    <w:color w:val="000000"/>
                    <w:sz w:val="20"/>
                    <w:szCs w:val="19"/>
                  </w:rPr>
                  <w:fldChar w:fldCharType="end"/>
                </w:r>
              </w:sdtContent>
            </w:sdt>
          </w:p>
        </w:tc>
      </w:tr>
      <w:tr>
        <w:tblPrEx>
          <w:tblCellMar>
            <w:top w:w="15" w:type="dxa"/>
            <w:left w:w="15" w:type="dxa"/>
            <w:bottom w:w="15" w:type="dxa"/>
            <w:right w:w="15" w:type="dxa"/>
          </w:tblCellMar>
        </w:tblPrEx>
        <w:trPr>
          <w:trHeight w:val="513" w:hRule="atLeast"/>
        </w:trPr>
        <w:tc>
          <w:tcPr>
            <w:tcW w:w="1270" w:type="dxa"/>
            <w:vMerge w:val="continue"/>
            <w:tcBorders>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1260" w:type="dxa"/>
            <w:vMerge w:val="continue"/>
            <w:tcBorders>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p>
        </w:tc>
        <w:tc>
          <w:tcPr>
            <w:tcW w:w="2700" w:type="dxa"/>
            <w:tcBorders>
              <w:top w:val="single" w:color="000000" w:sz="8"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240" w:lineRule="auto"/>
              <w:jc w:val="center"/>
              <w:rPr>
                <w:rFonts w:ascii="Times New Roman" w:hAnsi="Times New Roman" w:eastAsia="Times New Roman" w:cs="Times New Roman"/>
                <w:szCs w:val="19"/>
              </w:rPr>
            </w:pPr>
            <w:r>
              <w:rPr>
                <w:rFonts w:ascii="Times New Roman" w:hAnsi="Times New Roman" w:eastAsia="Times New Roman" w:cs="Times New Roman"/>
                <w:color w:val="000000"/>
                <w:szCs w:val="19"/>
              </w:rPr>
              <w:t>New Connection chargers of the water and electricity</w:t>
            </w:r>
          </w:p>
        </w:tc>
        <w:tc>
          <w:tcPr>
            <w:tcW w:w="2760" w:type="dxa"/>
            <w:tcBorders>
              <w:top w:val="single" w:color="000000" w:sz="8" w:space="0"/>
              <w:left w:val="double" w:color="auto" w:sz="4" w:space="0"/>
              <w:bottom w:val="double" w:color="auto" w:sz="4" w:space="0"/>
              <w:right w:val="double" w:color="auto" w:sz="4" w:space="0"/>
            </w:tcBorders>
            <w:tcMar>
              <w:top w:w="100" w:type="dxa"/>
              <w:left w:w="100" w:type="dxa"/>
              <w:bottom w:w="100" w:type="dxa"/>
              <w:right w:w="100" w:type="dxa"/>
            </w:tcMar>
            <w:vAlign w:val="center"/>
          </w:tcPr>
          <w:p>
            <w:pPr>
              <w:spacing w:after="0" w:line="240" w:lineRule="auto"/>
              <w:rPr>
                <w:rFonts w:ascii="Times New Roman" w:hAnsi="Times New Roman" w:eastAsia="Times New Roman" w:cs="Times New Roman"/>
                <w:sz w:val="20"/>
                <w:szCs w:val="19"/>
              </w:rPr>
            </w:pPr>
            <w:r>
              <w:rPr>
                <w:rFonts w:ascii="Times New Roman" w:hAnsi="Times New Roman" w:eastAsia="Times New Roman" w:cs="Times New Roman"/>
                <w:color w:val="000000"/>
                <w:sz w:val="20"/>
                <w:szCs w:val="19"/>
              </w:rPr>
              <w:t> </w:t>
            </w:r>
            <w:sdt>
              <w:sdtPr>
                <w:rPr>
                  <w:rFonts w:ascii="Times New Roman" w:hAnsi="Times New Roman" w:eastAsia="Times New Roman" w:cs="Times New Roman"/>
                  <w:color w:val="000000"/>
                  <w:sz w:val="20"/>
                  <w:szCs w:val="19"/>
                </w:rPr>
                <w:id w:val="-24721434"/>
              </w:sdtPr>
              <w:sdtEndPr>
                <w:rPr>
                  <w:rFonts w:ascii="Times New Roman" w:hAnsi="Times New Roman" w:eastAsia="Times New Roman" w:cs="Times New Roman"/>
                  <w:color w:val="000000"/>
                  <w:sz w:val="20"/>
                  <w:szCs w:val="19"/>
                </w:rPr>
              </w:sdtEndPr>
              <w:sdtContent>
                <w:r>
                  <w:rPr>
                    <w:rFonts w:ascii="Times New Roman" w:hAnsi="Times New Roman" w:eastAsia="Times New Roman" w:cs="Times New Roman"/>
                    <w:color w:val="000000"/>
                    <w:sz w:val="20"/>
                    <w:szCs w:val="19"/>
                  </w:rPr>
                  <w:fldChar w:fldCharType="begin"/>
                </w:r>
                <w:r>
                  <w:rPr>
                    <w:rFonts w:ascii="Times New Roman" w:hAnsi="Times New Roman" w:eastAsia="Times New Roman" w:cs="Times New Roman"/>
                    <w:color w:val="000000"/>
                    <w:sz w:val="20"/>
                    <w:szCs w:val="19"/>
                  </w:rPr>
                  <w:instrText xml:space="preserve">CITATION Placeholder9 \l 1033 </w:instrText>
                </w:r>
                <w:r>
                  <w:rPr>
                    <w:rFonts w:ascii="Times New Roman" w:hAnsi="Times New Roman" w:eastAsia="Times New Roman" w:cs="Times New Roman"/>
                    <w:color w:val="000000"/>
                    <w:sz w:val="20"/>
                    <w:szCs w:val="19"/>
                  </w:rPr>
                  <w:fldChar w:fldCharType="separate"/>
                </w:r>
                <w:r>
                  <w:rPr>
                    <w:rFonts w:ascii="Times New Roman" w:hAnsi="Times New Roman" w:eastAsia="Times New Roman" w:cs="Times New Roman"/>
                    <w:color w:val="000000"/>
                    <w:sz w:val="20"/>
                    <w:szCs w:val="19"/>
                  </w:rPr>
                  <w:t>(Rathnayaka R.M.K.B; Ariyawansa R.G;Endagamage Delipa, 2020)</w:t>
                </w:r>
                <w:r>
                  <w:rPr>
                    <w:rFonts w:ascii="Times New Roman" w:hAnsi="Times New Roman" w:eastAsia="Times New Roman" w:cs="Times New Roman"/>
                    <w:color w:val="000000"/>
                    <w:sz w:val="20"/>
                    <w:szCs w:val="19"/>
                  </w:rPr>
                  <w:fldChar w:fldCharType="end"/>
                </w:r>
              </w:sdtContent>
            </w:sdt>
          </w:p>
        </w:tc>
      </w:tr>
    </w:tbl>
    <w:p>
      <w:pPr>
        <w:spacing w:line="360" w:lineRule="auto"/>
        <w:jc w:val="both"/>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pPr>
    </w:p>
    <w:p>
      <w:pPr>
        <w:spacing w:line="360" w:lineRule="auto"/>
        <w:jc w:val="both"/>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pPr>
    </w:p>
    <w:p>
      <w:pPr>
        <w:spacing w:line="360" w:lineRule="auto"/>
        <w:jc w:val="both"/>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pPr>
    </w:p>
    <w:p>
      <w:pPr>
        <w:spacing w:line="360" w:lineRule="auto"/>
        <w:jc w:val="both"/>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pPr>
    </w:p>
    <w:p>
      <w:pPr>
        <w:spacing w:line="360" w:lineRule="auto"/>
        <w:jc w:val="both"/>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pPr>
    </w:p>
    <w:p>
      <w:pPr>
        <w:spacing w:line="360" w:lineRule="auto"/>
        <w:jc w:val="both"/>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t>Findings of the Study</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this study, ‘Consumer purchase intention’, regarded as dependent variable and for independent variables identified as location factor, price factor, legal attributes and amenities, having several sub factors for each and both descriptive and inferential statistics </w:t>
      </w:r>
      <w:sdt>
        <w:sdtPr>
          <w:rPr>
            <w:rFonts w:ascii="Times New Roman" w:hAnsi="Times New Roman" w:cs="Times New Roman"/>
            <w:sz w:val="24"/>
            <w:szCs w:val="24"/>
          </w:rPr>
          <w:id w:val="-1896966666"/>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scr22 \l 1033 </w:instrText>
          </w:r>
          <w:r>
            <w:rPr>
              <w:rFonts w:ascii="Times New Roman" w:hAnsi="Times New Roman" w:cs="Times New Roman"/>
              <w:sz w:val="24"/>
              <w:szCs w:val="24"/>
            </w:rPr>
            <w:fldChar w:fldCharType="separate"/>
          </w:r>
          <w:r>
            <w:rPr>
              <w:rFonts w:ascii="Times New Roman" w:hAnsi="Times New Roman" w:cs="Times New Roman"/>
              <w:sz w:val="24"/>
              <w:szCs w:val="24"/>
            </w:rPr>
            <w:t>(scribbr, n.d.)</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used for analysis the data for preparation of database, Sample profiling, Frequency test for all variables and Regression analysis and the conclusion eventually.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Most of the respondents are male a percentage of 56% while rest 44% represents the female respondent. So it can be argued that both female and male almost equal distributed throughout this research without any gender discrimination. Majority of the respondents belong to the age category of 25-35 Years and about 66% represent this category followed by  35-45 Years age category represent about 32% out of entire sample. The least number of respondents belong to the age limits above than 45 years and the total cumulative percentage has been derived as around 2%. Majority of the participants represent the income slab between 40,000 to 70,000 which represent the 44.2 % from total sample followed by 70,000-100,000 which represent the 18% and in addition to that number of respondents within income slab 130,000-160,000, are almost similar to the latter. Then 90 people represent the income slab of 100,000-130,000.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least number of represents are from below 40,000 and above 160,000 which will treat as lower income and upper income boundaries (</w:t>
      </w:r>
      <w:sdt>
        <w:sdtPr>
          <w:rPr>
            <w:rFonts w:ascii="Times New Roman" w:hAnsi="Times New Roman" w:cs="Times New Roman"/>
            <w:sz w:val="24"/>
            <w:szCs w:val="24"/>
          </w:rPr>
          <w:id w:val="335971209"/>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Ste13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(Kapsos &amp; Bourmpoula, 2013)</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Generally the respondents within 40,000 to 160,000 are calculated as 495 which are relevant for the purpose of this study.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Considered independent variables including Location, Price, Legal Attributes &amp; Services and the dependent variable of Consumer purchase intention received the Cronbach’s alpha coefficient value ranges from 0.641 to 0.872. Therefore, the values are considered as within the acceptable range and consistency of the data within the database has been secured.</w:t>
      </w:r>
    </w:p>
    <w:p>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bidi="ar-SA"/>
          <w14:textFill>
            <w14:solidFill>
              <w14:schemeClr w14:val="tx1"/>
            </w14:solidFill>
          </w14:textFill>
        </w:rPr>
        <mc:AlternateContent>
          <mc:Choice Requires="wpg">
            <w:drawing>
              <wp:anchor distT="0" distB="0" distL="114300" distR="114300" simplePos="0" relativeHeight="251660288" behindDoc="0" locked="0" layoutInCell="1" allowOverlap="1">
                <wp:simplePos x="0" y="0"/>
                <wp:positionH relativeFrom="column">
                  <wp:posOffset>203200</wp:posOffset>
                </wp:positionH>
                <wp:positionV relativeFrom="paragraph">
                  <wp:posOffset>625475</wp:posOffset>
                </wp:positionV>
                <wp:extent cx="4672330" cy="800100"/>
                <wp:effectExtent l="0" t="0" r="0" b="0"/>
                <wp:wrapNone/>
                <wp:docPr id="3" name="Group 3"/>
                <wp:cNvGraphicFramePr/>
                <a:graphic xmlns:a="http://schemas.openxmlformats.org/drawingml/2006/main">
                  <a:graphicData uri="http://schemas.microsoft.com/office/word/2010/wordprocessingGroup">
                    <wpg:wgp>
                      <wpg:cNvGrpSpPr/>
                      <wpg:grpSpPr>
                        <a:xfrm>
                          <a:off x="0" y="0"/>
                          <a:ext cx="4672330" cy="800100"/>
                          <a:chOff x="0" y="0"/>
                          <a:chExt cx="4672330" cy="800100"/>
                        </a:xfrm>
                      </wpg:grpSpPr>
                      <wps:wsp>
                        <wps:cNvPr id="4" name="Straight Connector 4"/>
                        <wps:cNvCnPr/>
                        <wps:spPr>
                          <a:xfrm>
                            <a:off x="120650" y="431800"/>
                            <a:ext cx="4091305" cy="0"/>
                          </a:xfrm>
                          <a:prstGeom prst="line">
                            <a:avLst/>
                          </a:prstGeom>
                        </wps:spPr>
                        <wps:style>
                          <a:lnRef idx="2">
                            <a:schemeClr val="dk1"/>
                          </a:lnRef>
                          <a:fillRef idx="0">
                            <a:schemeClr val="dk1"/>
                          </a:fillRef>
                          <a:effectRef idx="1">
                            <a:schemeClr val="dk1"/>
                          </a:effectRef>
                          <a:fontRef idx="minor">
                            <a:schemeClr val="tx1"/>
                          </a:fontRef>
                        </wps:style>
                        <wps:bodyPr/>
                      </wps:wsp>
                      <wps:wsp>
                        <wps:cNvPr id="5" name="Straight Connector 5"/>
                        <wps:cNvCnPr/>
                        <wps:spPr>
                          <a:xfrm>
                            <a:off x="120650" y="273050"/>
                            <a:ext cx="0" cy="312420"/>
                          </a:xfrm>
                          <a:prstGeom prst="line">
                            <a:avLst/>
                          </a:prstGeom>
                        </wps:spPr>
                        <wps:style>
                          <a:lnRef idx="2">
                            <a:schemeClr val="dk1"/>
                          </a:lnRef>
                          <a:fillRef idx="0">
                            <a:schemeClr val="dk1"/>
                          </a:fillRef>
                          <a:effectRef idx="1">
                            <a:schemeClr val="dk1"/>
                          </a:effectRef>
                          <a:fontRef idx="minor">
                            <a:schemeClr val="tx1"/>
                          </a:fontRef>
                        </wps:style>
                        <wps:bodyPr/>
                      </wps:wsp>
                      <wps:wsp>
                        <wps:cNvPr id="6" name="Straight Connector 7"/>
                        <wps:cNvCnPr/>
                        <wps:spPr>
                          <a:xfrm>
                            <a:off x="4210050" y="273050"/>
                            <a:ext cx="0" cy="312420"/>
                          </a:xfrm>
                          <a:prstGeom prst="line">
                            <a:avLst/>
                          </a:prstGeom>
                        </wps:spPr>
                        <wps:style>
                          <a:lnRef idx="2">
                            <a:schemeClr val="dk1"/>
                          </a:lnRef>
                          <a:fillRef idx="0">
                            <a:schemeClr val="dk1"/>
                          </a:fillRef>
                          <a:effectRef idx="1">
                            <a:schemeClr val="dk1"/>
                          </a:effectRef>
                          <a:fontRef idx="minor">
                            <a:schemeClr val="tx1"/>
                          </a:fontRef>
                        </wps:style>
                        <wps:bodyPr/>
                      </wps:wsp>
                      <wps:wsp>
                        <wps:cNvPr id="7" name="Straight Connector 7"/>
                        <wps:cNvCnPr/>
                        <wps:spPr>
                          <a:xfrm>
                            <a:off x="1485900" y="266700"/>
                            <a:ext cx="0" cy="312420"/>
                          </a:xfrm>
                          <a:prstGeom prst="line">
                            <a:avLst/>
                          </a:prstGeom>
                        </wps:spPr>
                        <wps:style>
                          <a:lnRef idx="2">
                            <a:schemeClr val="dk1"/>
                          </a:lnRef>
                          <a:fillRef idx="0">
                            <a:schemeClr val="dk1"/>
                          </a:fillRef>
                          <a:effectRef idx="1">
                            <a:schemeClr val="dk1"/>
                          </a:effectRef>
                          <a:fontRef idx="minor">
                            <a:schemeClr val="tx1"/>
                          </a:fontRef>
                        </wps:style>
                        <wps:bodyPr/>
                      </wps:wsp>
                      <wps:wsp>
                        <wps:cNvPr id="8" name="Straight Connector 8"/>
                        <wps:cNvCnPr/>
                        <wps:spPr>
                          <a:xfrm>
                            <a:off x="2851150" y="273050"/>
                            <a:ext cx="0" cy="312420"/>
                          </a:xfrm>
                          <a:prstGeom prst="line">
                            <a:avLst/>
                          </a:prstGeom>
                        </wps:spPr>
                        <wps:style>
                          <a:lnRef idx="2">
                            <a:schemeClr val="dk1"/>
                          </a:lnRef>
                          <a:fillRef idx="0">
                            <a:schemeClr val="dk1"/>
                          </a:fillRef>
                          <a:effectRef idx="1">
                            <a:schemeClr val="dk1"/>
                          </a:effectRef>
                          <a:fontRef idx="minor">
                            <a:schemeClr val="tx1"/>
                          </a:fontRef>
                        </wps:style>
                        <wps:bodyPr/>
                      </wps:wsp>
                      <wps:wsp>
                        <wps:cNvPr id="9" name="Text Box 2"/>
                        <wps:cNvSpPr txBox="1">
                          <a:spLocks noChangeArrowheads="1"/>
                        </wps:cNvSpPr>
                        <wps:spPr bwMode="auto">
                          <a:xfrm>
                            <a:off x="0" y="12700"/>
                            <a:ext cx="288925" cy="242570"/>
                          </a:xfrm>
                          <a:prstGeom prst="rect">
                            <a:avLst/>
                          </a:prstGeom>
                          <a:solidFill>
                            <a:srgbClr val="FFFFFF"/>
                          </a:solidFill>
                          <a:ln w="9525">
                            <a:noFill/>
                            <a:miter lim="800000"/>
                          </a:ln>
                        </wps:spPr>
                        <wps:txbx>
                          <w:txbxContent>
                            <w:p>
                              <w:pPr>
                                <w:rPr>
                                  <w:rFonts w:ascii="Times New Roman" w:hAnsi="Times New Roman" w:cs="Times New Roman"/>
                                  <w:sz w:val="24"/>
                                  <w:szCs w:val="24"/>
                                </w:rPr>
                              </w:pPr>
                              <w:r>
                                <w:rPr>
                                  <w:rFonts w:ascii="Times New Roman" w:hAnsi="Times New Roman" w:cs="Times New Roman"/>
                                  <w:sz w:val="24"/>
                                  <w:szCs w:val="24"/>
                                </w:rPr>
                                <w:t>5</w:t>
                              </w:r>
                            </w:p>
                          </w:txbxContent>
                        </wps:txbx>
                        <wps:bodyPr rot="0" vert="horz" wrap="square" lIns="91440" tIns="45720" rIns="91440" bIns="45720" anchor="t" anchorCtr="0">
                          <a:noAutofit/>
                        </wps:bodyPr>
                      </wps:wsp>
                      <wps:wsp>
                        <wps:cNvPr id="10" name="Text Box 2"/>
                        <wps:cNvSpPr txBox="1">
                          <a:spLocks noChangeArrowheads="1"/>
                        </wps:cNvSpPr>
                        <wps:spPr bwMode="auto">
                          <a:xfrm>
                            <a:off x="1301750" y="0"/>
                            <a:ext cx="595967" cy="242570"/>
                          </a:xfrm>
                          <a:prstGeom prst="rect">
                            <a:avLst/>
                          </a:prstGeom>
                          <a:solidFill>
                            <a:srgbClr val="FFFFFF"/>
                          </a:solidFill>
                          <a:ln w="9525">
                            <a:noFill/>
                            <a:miter lim="800000"/>
                          </a:ln>
                        </wps:spPr>
                        <wps:txbx>
                          <w:txbxContent>
                            <w:p>
                              <w:pPr>
                                <w:rPr>
                                  <w:rFonts w:ascii="Times New Roman" w:hAnsi="Times New Roman" w:cs="Times New Roman"/>
                                  <w:sz w:val="24"/>
                                  <w:szCs w:val="24"/>
                                </w:rPr>
                              </w:pPr>
                              <w:r>
                                <w:rPr>
                                  <w:rFonts w:ascii="Times New Roman" w:hAnsi="Times New Roman" w:cs="Times New Roman"/>
                                  <w:sz w:val="24"/>
                                  <w:szCs w:val="24"/>
                                </w:rPr>
                                <w:t>3.67</w:t>
                              </w:r>
                            </w:p>
                          </w:txbxContent>
                        </wps:txbx>
                        <wps:bodyPr rot="0" vert="horz" wrap="square" lIns="91440" tIns="45720" rIns="91440" bIns="45720" anchor="t" anchorCtr="0">
                          <a:noAutofit/>
                        </wps:bodyPr>
                      </wps:wsp>
                      <wps:wsp>
                        <wps:cNvPr id="11" name="Text Box 11"/>
                        <wps:cNvSpPr txBox="1">
                          <a:spLocks noChangeArrowheads="1"/>
                        </wps:cNvSpPr>
                        <wps:spPr bwMode="auto">
                          <a:xfrm>
                            <a:off x="2654300" y="12700"/>
                            <a:ext cx="595630" cy="242570"/>
                          </a:xfrm>
                          <a:prstGeom prst="rect">
                            <a:avLst/>
                          </a:prstGeom>
                          <a:solidFill>
                            <a:srgbClr val="FFFFFF"/>
                          </a:solidFill>
                          <a:ln w="9525">
                            <a:noFill/>
                            <a:miter lim="800000"/>
                          </a:ln>
                        </wps:spPr>
                        <wps:txbx>
                          <w:txbxContent>
                            <w:p>
                              <w:pPr>
                                <w:rPr>
                                  <w:rFonts w:ascii="Times New Roman" w:hAnsi="Times New Roman" w:cs="Times New Roman"/>
                                  <w:sz w:val="24"/>
                                  <w:szCs w:val="24"/>
                                </w:rPr>
                              </w:pPr>
                              <w:r>
                                <w:rPr>
                                  <w:rFonts w:ascii="Times New Roman" w:hAnsi="Times New Roman" w:cs="Times New Roman"/>
                                  <w:sz w:val="24"/>
                                  <w:szCs w:val="24"/>
                                </w:rPr>
                                <w:t>2.33</w:t>
                              </w:r>
                            </w:p>
                          </w:txbxContent>
                        </wps:txbx>
                        <wps:bodyPr rot="0" vert="horz" wrap="square" lIns="91440" tIns="45720" rIns="91440" bIns="45720" anchor="t" anchorCtr="0">
                          <a:noAutofit/>
                        </wps:bodyPr>
                      </wps:wsp>
                      <wps:wsp>
                        <wps:cNvPr id="12" name="Text Box 2"/>
                        <wps:cNvSpPr txBox="1">
                          <a:spLocks noChangeArrowheads="1"/>
                        </wps:cNvSpPr>
                        <wps:spPr bwMode="auto">
                          <a:xfrm>
                            <a:off x="4076700" y="12700"/>
                            <a:ext cx="595630" cy="242570"/>
                          </a:xfrm>
                          <a:prstGeom prst="rect">
                            <a:avLst/>
                          </a:prstGeom>
                          <a:solidFill>
                            <a:srgbClr val="FFFFFF"/>
                          </a:solidFill>
                          <a:ln w="9525">
                            <a:noFill/>
                            <a:miter lim="800000"/>
                          </a:ln>
                        </wps:spPr>
                        <wps:txbx>
                          <w:txbxContent>
                            <w:p>
                              <w:pPr>
                                <w:rPr>
                                  <w:rFonts w:ascii="Times New Roman" w:hAnsi="Times New Roman" w:cs="Times New Roman"/>
                                  <w:sz w:val="24"/>
                                  <w:szCs w:val="24"/>
                                </w:rPr>
                              </w:pPr>
                              <w:r>
                                <w:rPr>
                                  <w:rFonts w:ascii="Times New Roman" w:hAnsi="Times New Roman" w:cs="Times New Roman"/>
                                  <w:sz w:val="24"/>
                                  <w:szCs w:val="24"/>
                                </w:rPr>
                                <w:t>1</w:t>
                              </w:r>
                            </w:p>
                          </w:txbxContent>
                        </wps:txbx>
                        <wps:bodyPr rot="0" vert="horz" wrap="square" lIns="91440" tIns="45720" rIns="91440" bIns="45720" anchor="t" anchorCtr="0">
                          <a:noAutofit/>
                        </wps:bodyPr>
                      </wps:wsp>
                      <wps:wsp>
                        <wps:cNvPr id="13" name="Text Box 2"/>
                        <wps:cNvSpPr txBox="1">
                          <a:spLocks noChangeArrowheads="1"/>
                        </wps:cNvSpPr>
                        <wps:spPr bwMode="auto">
                          <a:xfrm>
                            <a:off x="368300" y="488950"/>
                            <a:ext cx="933450" cy="304800"/>
                          </a:xfrm>
                          <a:prstGeom prst="rect">
                            <a:avLst/>
                          </a:prstGeom>
                          <a:solidFill>
                            <a:srgbClr val="FFFFFF"/>
                          </a:solidFill>
                          <a:ln w="9525">
                            <a:noFill/>
                            <a:miter lim="800000"/>
                          </a:ln>
                        </wps:spPr>
                        <wps:txbx>
                          <w:txbxContent>
                            <w:p>
                              <w:pPr>
                                <w:rPr>
                                  <w:rFonts w:ascii="Times New Roman" w:hAnsi="Times New Roman" w:cs="Times New Roman"/>
                                  <w:b/>
                                  <w:sz w:val="20"/>
                                  <w:szCs w:val="20"/>
                                </w:rPr>
                              </w:pPr>
                              <w:r>
                                <w:rPr>
                                  <w:rFonts w:ascii="Times New Roman" w:hAnsi="Times New Roman" w:cs="Times New Roman"/>
                                  <w:b/>
                                  <w:sz w:val="20"/>
                                  <w:szCs w:val="20"/>
                                </w:rPr>
                                <w:t>High Level</w:t>
                              </w:r>
                            </w:p>
                          </w:txbxContent>
                        </wps:txbx>
                        <wps:bodyPr rot="0" vert="horz" wrap="square" lIns="91440" tIns="45720" rIns="91440" bIns="45720" anchor="t" anchorCtr="0">
                          <a:noAutofit/>
                        </wps:bodyPr>
                      </wps:wsp>
                      <wps:wsp>
                        <wps:cNvPr id="14" name="Text Box 2"/>
                        <wps:cNvSpPr txBox="1">
                          <a:spLocks noChangeArrowheads="1"/>
                        </wps:cNvSpPr>
                        <wps:spPr bwMode="auto">
                          <a:xfrm>
                            <a:off x="1651000" y="488950"/>
                            <a:ext cx="1028700" cy="304800"/>
                          </a:xfrm>
                          <a:prstGeom prst="rect">
                            <a:avLst/>
                          </a:prstGeom>
                          <a:solidFill>
                            <a:srgbClr val="FFFFFF"/>
                          </a:solidFill>
                          <a:ln w="9525">
                            <a:noFill/>
                            <a:miter lim="800000"/>
                          </a:ln>
                        </wps:spPr>
                        <wps:txbx>
                          <w:txbxContent>
                            <w:p>
                              <w:pPr>
                                <w:rPr>
                                  <w:rFonts w:ascii="Times New Roman" w:hAnsi="Times New Roman" w:cs="Times New Roman"/>
                                  <w:b/>
                                  <w:sz w:val="20"/>
                                  <w:szCs w:val="20"/>
                                </w:rPr>
                              </w:pPr>
                              <w:r>
                                <w:rPr>
                                  <w:rFonts w:ascii="Times New Roman" w:hAnsi="Times New Roman" w:cs="Times New Roman"/>
                                  <w:b/>
                                  <w:sz w:val="20"/>
                                  <w:szCs w:val="20"/>
                                </w:rPr>
                                <w:t>Medium Level</w:t>
                              </w:r>
                            </w:p>
                          </w:txbxContent>
                        </wps:txbx>
                        <wps:bodyPr rot="0" vert="horz" wrap="square" lIns="91440" tIns="45720" rIns="91440" bIns="45720" anchor="t" anchorCtr="0">
                          <a:noAutofit/>
                        </wps:bodyPr>
                      </wps:wsp>
                      <wps:wsp>
                        <wps:cNvPr id="15" name="Text Box 2"/>
                        <wps:cNvSpPr txBox="1">
                          <a:spLocks noChangeArrowheads="1"/>
                        </wps:cNvSpPr>
                        <wps:spPr bwMode="auto">
                          <a:xfrm>
                            <a:off x="3200400" y="495300"/>
                            <a:ext cx="876300" cy="304800"/>
                          </a:xfrm>
                          <a:prstGeom prst="rect">
                            <a:avLst/>
                          </a:prstGeom>
                          <a:solidFill>
                            <a:srgbClr val="FFFFFF"/>
                          </a:solidFill>
                          <a:ln w="9525">
                            <a:noFill/>
                            <a:miter lim="800000"/>
                          </a:ln>
                        </wps:spPr>
                        <wps:txbx>
                          <w:txbxContent>
                            <w:p>
                              <w:pPr>
                                <w:rPr>
                                  <w:rFonts w:ascii="Times New Roman" w:hAnsi="Times New Roman" w:cs="Times New Roman"/>
                                  <w:b/>
                                  <w:sz w:val="20"/>
                                  <w:szCs w:val="20"/>
                                </w:rPr>
                              </w:pPr>
                              <w:r>
                                <w:rPr>
                                  <w:rFonts w:ascii="Times New Roman" w:hAnsi="Times New Roman" w:cs="Times New Roman"/>
                                  <w:b/>
                                  <w:sz w:val="20"/>
                                  <w:szCs w:val="20"/>
                                </w:rPr>
                                <w:t>Law Level</w:t>
                              </w:r>
                            </w:p>
                          </w:txbxContent>
                        </wps:txbx>
                        <wps:bodyPr rot="0" vert="horz" wrap="square" lIns="91440" tIns="45720" rIns="91440" bIns="45720" anchor="t" anchorCtr="0">
                          <a:noAutofit/>
                        </wps:bodyPr>
                      </wps:wsp>
                    </wpg:wgp>
                  </a:graphicData>
                </a:graphic>
              </wp:anchor>
            </w:drawing>
          </mc:Choice>
          <mc:Fallback>
            <w:pict>
              <v:group id="_x0000_s1026" o:spid="_x0000_s1026" o:spt="203" style="position:absolute;left:0pt;margin-left:16pt;margin-top:49.25pt;height:63pt;width:367.9pt;z-index:251660288;mso-width-relative:page;mso-height-relative:page;" coordsize="4672330,800100" o:gfxdata="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">
                <o:lock v:ext="edit" aspectratio="f"/>
                <v:line id="_x0000_s1026" o:spid="_x0000_s1026" o:spt="20" style="position:absolute;left:120650;top:431800;height:0;width:4091305;" filled="f" stroked="t" coordsize="21600,21600" o:gfxdata="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UiD3vQAA&#10;ANoAAAAPAAAAAAAAAAEAIAAAACIAAABkcnMvZG93bnJldi54bWxQSwECFAAUAAAACACHTuJAMy8F&#10;njsAAAA5AAAAEAAAAAAAAAABACAAAAAMAQAAZHJzL3NoYXBleG1sLnhtbFBLBQYAAAAABgAGAFsB&#10;AAC2AwAAAAA=&#10;">
                  <v:fill on="f" focussize="0,0"/>
                  <v:stroke weight="2pt" color="#000000 [3200]" joinstyle="round"/>
                  <v:imagedata o:title=""/>
                  <o:lock v:ext="edit" aspectratio="f"/>
                  <v:shadow on="t" color="#000000" opacity="24903f" offset="0pt,1.5748031496063pt" origin="0f,32768f" matrix="65536f,0f,0f,65536f"/>
                </v:line>
                <v:line id="_x0000_s1026" o:spid="_x0000_s1026" o:spt="20" style="position:absolute;left:120650;top:273050;height:312420;width:0;" filled="f" stroked="t" coordsize="21600,21600" o:gfxdata="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HoVsvQAA&#10;ANoAAAAPAAAAAAAAAAEAIAAAACIAAABkcnMvZG93bnJldi54bWxQSwECFAAUAAAACACHTuJAMy8F&#10;njsAAAA5AAAAEAAAAAAAAAABACAAAAAMAQAAZHJzL3NoYXBleG1sLnhtbFBLBQYAAAAABgAGAFsB&#10;AAC2AwAAAAA=&#10;">
                  <v:fill on="f" focussize="0,0"/>
                  <v:stroke weight="2pt" color="#000000 [3200]" joinstyle="round"/>
                  <v:imagedata o:title=""/>
                  <o:lock v:ext="edit" aspectratio="f"/>
                  <v:shadow on="t" color="#000000" opacity="24903f" offset="0pt,1.5748031496063pt" origin="0f,32768f" matrix="65536f,0f,0f,65536f"/>
                </v:line>
                <v:line id="Straight Connector 7" o:spid="_x0000_s1026" o:spt="20" style="position:absolute;left:4210050;top:273050;height:312420;width:0;" filled="f" stroked="t" coordsize="21600,21600" o:gfxdata="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7MGxu/&#10;AAAA2gAAAA8AAAAAAAAAAQAgAAAAIgAAAGRycy9kb3ducmV2LnhtbFBLAQIUABQAAAAIAIdO4kAz&#10;LwWeOwAAADkAAAAQAAAAAAAAAAEAIAAAAA4BAABkcnMvc2hhcGV4bWwueG1sUEsFBgAAAAAGAAYA&#10;WwEAALgDAAAAAA==&#10;">
                  <v:fill on="f" focussize="0,0"/>
                  <v:stroke weight="2pt" color="#000000 [3200]" joinstyle="round"/>
                  <v:imagedata o:title=""/>
                  <o:lock v:ext="edit" aspectratio="f"/>
                  <v:shadow on="t" color="#000000" opacity="24903f" offset="0pt,1.5748031496063pt" origin="0f,32768f" matrix="65536f,0f,0f,65536f"/>
                </v:line>
                <v:line id="_x0000_s1026" o:spid="_x0000_s1026" o:spt="20" style="position:absolute;left:1485900;top:266700;height:312420;width:0;" filled="f" stroked="t" coordsize="21600,21600" o:gfxdata="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gL6AvQAA&#10;ANoAAAAPAAAAAAAAAAEAIAAAACIAAABkcnMvZG93bnJldi54bWxQSwECFAAUAAAACACHTuJAMy8F&#10;njsAAAA5AAAAEAAAAAAAAAABACAAAAAMAQAAZHJzL3NoYXBleG1sLnhtbFBLBQYAAAAABgAGAFsB&#10;AAC2AwAAAAA=&#10;">
                  <v:fill on="f" focussize="0,0"/>
                  <v:stroke weight="2pt" color="#000000 [3200]" joinstyle="round"/>
                  <v:imagedata o:title=""/>
                  <o:lock v:ext="edit" aspectratio="f"/>
                  <v:shadow on="t" color="#000000" opacity="24903f" offset="0pt,1.5748031496063pt" origin="0f,32768f" matrix="65536f,0f,0f,65536f"/>
                </v:line>
                <v:line id="_x0000_s1026" o:spid="_x0000_s1026" o:spt="20" style="position:absolute;left:2851150;top:273050;height:312420;width:0;" filled="f" stroked="t" coordsize="21600,21600" o:gfxdata="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B8q8rsAAADa&#10;AAAADwAAAAAAAAABACAAAAAiAAAAZHJzL2Rvd25yZXYueG1sUEsBAhQAFAAAAAgAh07iQDMvBZ47&#10;AAAAOQAAABAAAAAAAAAAAQAgAAAACgEAAGRycy9zaGFwZXhtbC54bWxQSwUGAAAAAAYABgBbAQAA&#10;tAMAAAAA&#10;">
                  <v:fill on="f" focussize="0,0"/>
                  <v:stroke weight="2pt" color="#000000 [3200]" joinstyle="round"/>
                  <v:imagedata o:title=""/>
                  <o:lock v:ext="edit" aspectratio="f"/>
                  <v:shadow on="t" color="#000000" opacity="24903f" offset="0pt,1.5748031496063pt" origin="0f,32768f" matrix="65536f,0f,0f,65536f"/>
                </v:line>
                <v:shape id="Text Box 2" o:spid="_x0000_s1026" o:spt="202" type="#_x0000_t202" style="position:absolute;left:0;top:12700;height:242570;width:288925;" fillcolor="#FFFFFF" filled="t" stroked="f" coordsize="21600,21600" o:gfxdata="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uE1WatwAAANoAAAAP&#10;AAAAAAAAAAEAIAAAACIAAABkcnMvZG93bnJldi54bWxQSwECFAAUAAAACACHTuJAMy8FnjsAAAA5&#10;AAAAEAAAAAAAAAABACAAAAAGAQAAZHJzL3NoYXBleG1sLnhtbFBLBQYAAAAABgAGAFsBAACwAwAA&#10;AAA=&#10;">
                  <v:fill on="t" focussize="0,0"/>
                  <v:stroke on="f" miterlimit="8" joinstyle="miter"/>
                  <v:imagedata o:title=""/>
                  <o:lock v:ext="edit" aspectratio="f"/>
                  <v:textbox>
                    <w:txbxContent>
                      <w:p>
                        <w:pPr>
                          <w:rPr>
                            <w:rFonts w:ascii="Times New Roman" w:hAnsi="Times New Roman" w:cs="Times New Roman"/>
                            <w:sz w:val="24"/>
                            <w:szCs w:val="24"/>
                          </w:rPr>
                        </w:pPr>
                        <w:r>
                          <w:rPr>
                            <w:rFonts w:ascii="Times New Roman" w:hAnsi="Times New Roman" w:cs="Times New Roman"/>
                            <w:sz w:val="24"/>
                            <w:szCs w:val="24"/>
                          </w:rPr>
                          <w:t>5</w:t>
                        </w:r>
                      </w:p>
                    </w:txbxContent>
                  </v:textbox>
                </v:shape>
                <v:shape id="Text Box 2" o:spid="_x0000_s1026" o:spt="202" type="#_x0000_t202" style="position:absolute;left:1301750;top:0;height:242570;width:595967;" fillcolor="#FFFFFF" filled="t" stroked="f" coordsize="21600,21600" o:gfxdata="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UqhyvQAA&#10;ANsAAAAPAAAAAAAAAAEAIAAAACIAAABkcnMvZG93bnJldi54bWxQSwECFAAUAAAACACHTuJAMy8F&#10;njsAAAA5AAAAEAAAAAAAAAABACAAAAAMAQAAZHJzL3NoYXBleG1sLnhtbFBLBQYAAAAABgAGAFsB&#10;AAC2AwAAAAA=&#10;">
                  <v:fill on="t" focussize="0,0"/>
                  <v:stroke on="f" miterlimit="8" joinstyle="miter"/>
                  <v:imagedata o:title=""/>
                  <o:lock v:ext="edit" aspectratio="f"/>
                  <v:textbox>
                    <w:txbxContent>
                      <w:p>
                        <w:pPr>
                          <w:rPr>
                            <w:rFonts w:ascii="Times New Roman" w:hAnsi="Times New Roman" w:cs="Times New Roman"/>
                            <w:sz w:val="24"/>
                            <w:szCs w:val="24"/>
                          </w:rPr>
                        </w:pPr>
                        <w:r>
                          <w:rPr>
                            <w:rFonts w:ascii="Times New Roman" w:hAnsi="Times New Roman" w:cs="Times New Roman"/>
                            <w:sz w:val="24"/>
                            <w:szCs w:val="24"/>
                          </w:rPr>
                          <w:t>3.67</w:t>
                        </w:r>
                      </w:p>
                    </w:txbxContent>
                  </v:textbox>
                </v:shape>
                <v:shape id="_x0000_s1026" o:spid="_x0000_s1026" o:spt="202" type="#_x0000_t202" style="position:absolute;left:2654300;top:12700;height:242570;width:595630;" fillcolor="#FFFFFF" filled="t" stroked="f" coordsize="21600,21600" o:gfxdata="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P0eDem2AAAA2wAAAA8A&#10;AAAAAAAAAQAgAAAAIgAAAGRycy9kb3ducmV2LnhtbFBLAQIUABQAAAAIAIdO4kAzLwWeOwAAADkA&#10;AAAQAAAAAAAAAAEAIAAAAAUBAABkcnMvc2hhcGV4bWwueG1sUEsFBgAAAAAGAAYAWwEAAK8DAAAA&#10;AA==&#10;">
                  <v:fill on="t" focussize="0,0"/>
                  <v:stroke on="f" miterlimit="8" joinstyle="miter"/>
                  <v:imagedata o:title=""/>
                  <o:lock v:ext="edit" aspectratio="f"/>
                  <v:textbox>
                    <w:txbxContent>
                      <w:p>
                        <w:pPr>
                          <w:rPr>
                            <w:rFonts w:ascii="Times New Roman" w:hAnsi="Times New Roman" w:cs="Times New Roman"/>
                            <w:sz w:val="24"/>
                            <w:szCs w:val="24"/>
                          </w:rPr>
                        </w:pPr>
                        <w:r>
                          <w:rPr>
                            <w:rFonts w:ascii="Times New Roman" w:hAnsi="Times New Roman" w:cs="Times New Roman"/>
                            <w:sz w:val="24"/>
                            <w:szCs w:val="24"/>
                          </w:rPr>
                          <w:t>2.33</w:t>
                        </w:r>
                      </w:p>
                    </w:txbxContent>
                  </v:textbox>
                </v:shape>
                <v:shape id="Text Box 2" o:spid="_x0000_s1026" o:spt="202" type="#_x0000_t202" style="position:absolute;left:4076700;top:12700;height:242570;width:595630;" fillcolor="#FFFFFF" filled="t" stroked="f" coordsize="21600,21600" o:gfxdata="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A3Mk562AAAA2wAAAA8A&#10;AAAAAAAAAQAgAAAAIgAAAGRycy9kb3ducmV2LnhtbFBLAQIUABQAAAAIAIdO4kAzLwWeOwAAADkA&#10;AAAQAAAAAAAAAAEAIAAAAAUBAABkcnMvc2hhcGV4bWwueG1sUEsFBgAAAAAGAAYAWwEAAK8DAAAA&#10;AA==&#10;">
                  <v:fill on="t" focussize="0,0"/>
                  <v:stroke on="f" miterlimit="8" joinstyle="miter"/>
                  <v:imagedata o:title=""/>
                  <o:lock v:ext="edit" aspectratio="f"/>
                  <v:textbox>
                    <w:txbxContent>
                      <w:p>
                        <w:pPr>
                          <w:rPr>
                            <w:rFonts w:ascii="Times New Roman" w:hAnsi="Times New Roman" w:cs="Times New Roman"/>
                            <w:sz w:val="24"/>
                            <w:szCs w:val="24"/>
                          </w:rPr>
                        </w:pPr>
                        <w:r>
                          <w:rPr>
                            <w:rFonts w:ascii="Times New Roman" w:hAnsi="Times New Roman" w:cs="Times New Roman"/>
                            <w:sz w:val="24"/>
                            <w:szCs w:val="24"/>
                          </w:rPr>
                          <w:t>1</w:t>
                        </w:r>
                      </w:p>
                    </w:txbxContent>
                  </v:textbox>
                </v:shape>
                <v:shape id="Text Box 2" o:spid="_x0000_s1026" o:spt="202" type="#_x0000_t202" style="position:absolute;left:368300;top:488950;height:304800;width:933450;" fillcolor="#FFFFFF" filled="t" stroked="f" coordsize="21600,21600" o:gfxdata="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GKANgW2AAAA2wAAAA8A&#10;AAAAAAAAAQAgAAAAIgAAAGRycy9kb3ducmV2LnhtbFBLAQIUABQAAAAIAIdO4kAzLwWeOwAAADkA&#10;AAAQAAAAAAAAAAEAIAAAAAUBAABkcnMvc2hhcGV4bWwueG1sUEsFBgAAAAAGAAYAWwEAAK8DAAAA&#10;AA==&#10;">
                  <v:fill on="t" focussize="0,0"/>
                  <v:stroke on="f" miterlimit="8" joinstyle="miter"/>
                  <v:imagedata o:title=""/>
                  <o:lock v:ext="edit" aspectratio="f"/>
                  <v:textbox>
                    <w:txbxContent>
                      <w:p>
                        <w:pPr>
                          <w:rPr>
                            <w:rFonts w:ascii="Times New Roman" w:hAnsi="Times New Roman" w:cs="Times New Roman"/>
                            <w:b/>
                            <w:sz w:val="20"/>
                            <w:szCs w:val="20"/>
                          </w:rPr>
                        </w:pPr>
                        <w:r>
                          <w:rPr>
                            <w:rFonts w:ascii="Times New Roman" w:hAnsi="Times New Roman" w:cs="Times New Roman"/>
                            <w:b/>
                            <w:sz w:val="20"/>
                            <w:szCs w:val="20"/>
                          </w:rPr>
                          <w:t>High Level</w:t>
                        </w:r>
                      </w:p>
                    </w:txbxContent>
                  </v:textbox>
                </v:shape>
                <v:shape id="Text Box 2" o:spid="_x0000_s1026" o:spt="202" type="#_x0000_t202" style="position:absolute;left:1651000;top:488950;height:304800;width:1028700;" fillcolor="#FFFFFF" filled="t" stroked="f" coordsize="21600,21600" o:gfxdata="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1prnG2AAAA2wAAAA8A&#10;AAAAAAAAAQAgAAAAIgAAAGRycy9kb3ducmV2LnhtbFBLAQIUABQAAAAIAIdO4kAzLwWeOwAAADkA&#10;AAAQAAAAAAAAAAEAIAAAAAUBAABkcnMvc2hhcGV4bWwueG1sUEsFBgAAAAAGAAYAWwEAAK8DAAAA&#10;AA==&#10;">
                  <v:fill on="t" focussize="0,0"/>
                  <v:stroke on="f" miterlimit="8" joinstyle="miter"/>
                  <v:imagedata o:title=""/>
                  <o:lock v:ext="edit" aspectratio="f"/>
                  <v:textbox>
                    <w:txbxContent>
                      <w:p>
                        <w:pPr>
                          <w:rPr>
                            <w:rFonts w:ascii="Times New Roman" w:hAnsi="Times New Roman" w:cs="Times New Roman"/>
                            <w:b/>
                            <w:sz w:val="20"/>
                            <w:szCs w:val="20"/>
                          </w:rPr>
                        </w:pPr>
                        <w:r>
                          <w:rPr>
                            <w:rFonts w:ascii="Times New Roman" w:hAnsi="Times New Roman" w:cs="Times New Roman"/>
                            <w:b/>
                            <w:sz w:val="20"/>
                            <w:szCs w:val="20"/>
                          </w:rPr>
                          <w:t>Medium Level</w:t>
                        </w:r>
                      </w:p>
                    </w:txbxContent>
                  </v:textbox>
                </v:shape>
                <v:shape id="Text Box 2" o:spid="_x0000_s1026" o:spt="202" type="#_x0000_t202" style="position:absolute;left:3200400;top:495300;height:304800;width:876300;" fillcolor="#FFFFFF" filled="t" stroked="f" coordsize="21600,21600" o:gfxdata="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IIlC+q2AAAA2wAAAA8A&#10;AAAAAAAAAQAgAAAAIgAAAGRycy9kb3ducmV2LnhtbFBLAQIUABQAAAAIAIdO4kAzLwWeOwAAADkA&#10;AAAQAAAAAAAAAAEAIAAAAAUBAABkcnMvc2hhcGV4bWwueG1sUEsFBgAAAAAGAAYAWwEAAK8DAAAA&#10;AA==&#10;">
                  <v:fill on="t" focussize="0,0"/>
                  <v:stroke on="f" miterlimit="8" joinstyle="miter"/>
                  <v:imagedata o:title=""/>
                  <o:lock v:ext="edit" aspectratio="f"/>
                  <v:textbox>
                    <w:txbxContent>
                      <w:p>
                        <w:pPr>
                          <w:rPr>
                            <w:rFonts w:ascii="Times New Roman" w:hAnsi="Times New Roman" w:cs="Times New Roman"/>
                            <w:b/>
                            <w:sz w:val="20"/>
                            <w:szCs w:val="20"/>
                          </w:rPr>
                        </w:pPr>
                        <w:r>
                          <w:rPr>
                            <w:rFonts w:ascii="Times New Roman" w:hAnsi="Times New Roman" w:cs="Times New Roman"/>
                            <w:b/>
                            <w:sz w:val="20"/>
                            <w:szCs w:val="20"/>
                          </w:rPr>
                          <w:t>Law Level</w:t>
                        </w:r>
                      </w:p>
                    </w:txbxContent>
                  </v:textbox>
                </v:shape>
              </v:group>
            </w:pict>
          </mc:Fallback>
        </mc:AlternateContent>
      </w:r>
      <w:r>
        <w:rPr>
          <w:rFonts w:ascii="Times New Roman" w:hAnsi="Times New Roman" w:cs="Times New Roman"/>
          <w:color w:val="000000" w:themeColor="text1"/>
          <w:sz w:val="24"/>
          <w:szCs w:val="24"/>
          <w14:textFill>
            <w14:solidFill>
              <w14:schemeClr w14:val="tx1"/>
            </w14:solidFill>
          </w14:textFill>
        </w:rPr>
        <w:t xml:space="preserve">The following graph shows how it can be categorized the mean value based on the likert scales. It ranges between 1 to 5, </w:t>
      </w:r>
    </w:p>
    <w:p>
      <w:pPr>
        <w:spacing w:line="360" w:lineRule="auto"/>
        <w:jc w:val="both"/>
        <w:rPr>
          <w:rFonts w:ascii="Times New Roman" w:hAnsi="Times New Roman" w:cs="Times New Roman"/>
          <w:color w:val="000000" w:themeColor="text1"/>
          <w:sz w:val="24"/>
          <w:szCs w:val="24"/>
          <w14:textFill>
            <w14:solidFill>
              <w14:schemeClr w14:val="tx1"/>
            </w14:solidFill>
          </w14:textFill>
        </w:rPr>
      </w:pPr>
    </w:p>
    <w:p>
      <w:pPr>
        <w:spacing w:line="360" w:lineRule="auto"/>
        <w:jc w:val="both"/>
        <w:rPr>
          <w:rFonts w:ascii="Times New Roman" w:hAnsi="Times New Roman" w:cs="Times New Roman"/>
          <w:color w:val="000000" w:themeColor="text1"/>
          <w:sz w:val="24"/>
          <w:szCs w:val="24"/>
          <w14:textFill>
            <w14:solidFill>
              <w14:schemeClr w14:val="tx1"/>
            </w14:solidFill>
          </w14:textFill>
        </w:rPr>
      </w:pPr>
    </w:p>
    <w:p>
      <w:pPr>
        <w:spacing w:line="360" w:lineRule="auto"/>
        <w:ind w:left="720"/>
        <w:jc w:val="both"/>
        <w:rPr>
          <w:rFonts w:ascii="Times New Roman" w:hAnsi="Times New Roman" w:cs="Times New Roman"/>
          <w:color w:val="000000" w:themeColor="text1"/>
          <w:sz w:val="24"/>
          <w:szCs w:val="24"/>
          <w14:textFill>
            <w14:solidFill>
              <w14:schemeClr w14:val="tx1"/>
            </w14:solidFill>
          </w14:textFill>
        </w:rPr>
      </w:pPr>
      <w:r>
        <w:rPr>
          <w:lang w:bidi="ar-SA"/>
        </w:rPr>
        <mc:AlternateContent>
          <mc:Choice Requires="wps">
            <w:drawing>
              <wp:anchor distT="0" distB="0" distL="114300" distR="114300" simplePos="0" relativeHeight="251662336" behindDoc="0" locked="0" layoutInCell="1" allowOverlap="1">
                <wp:simplePos x="0" y="0"/>
                <wp:positionH relativeFrom="column">
                  <wp:posOffset>136525</wp:posOffset>
                </wp:positionH>
                <wp:positionV relativeFrom="paragraph">
                  <wp:posOffset>88265</wp:posOffset>
                </wp:positionV>
                <wp:extent cx="4672330" cy="635"/>
                <wp:effectExtent l="0" t="0" r="0" b="2540"/>
                <wp:wrapNone/>
                <wp:docPr id="1835271547" name="Text Box 1"/>
                <wp:cNvGraphicFramePr/>
                <a:graphic xmlns:a="http://schemas.openxmlformats.org/drawingml/2006/main">
                  <a:graphicData uri="http://schemas.microsoft.com/office/word/2010/wordprocessingShape">
                    <wps:wsp>
                      <wps:cNvSpPr txBox="1"/>
                      <wps:spPr>
                        <a:xfrm>
                          <a:off x="0" y="0"/>
                          <a:ext cx="4672330" cy="635"/>
                        </a:xfrm>
                        <a:prstGeom prst="rect">
                          <a:avLst/>
                        </a:prstGeom>
                        <a:solidFill>
                          <a:prstClr val="white"/>
                        </a:solidFill>
                        <a:ln>
                          <a:noFill/>
                        </a:ln>
                      </wps:spPr>
                      <wps:txbx>
                        <w:txbxContent>
                          <w:p>
                            <w:pPr>
                              <w:pStyle w:val="8"/>
                              <w:rPr>
                                <w:rFonts w:ascii="Times New Roman" w:hAnsi="Times New Roman" w:cs="Times New Roman"/>
                                <w:color w:val="auto"/>
                                <w:sz w:val="24"/>
                                <w:szCs w:val="24"/>
                              </w:rPr>
                            </w:pPr>
                            <w:r>
                              <w:rPr>
                                <w:rFonts w:ascii="Times New Roman" w:hAnsi="Times New Roman" w:cs="Times New Roman"/>
                                <w:color w:val="auto"/>
                                <w:sz w:val="24"/>
                                <w:szCs w:val="24"/>
                              </w:rPr>
                              <w:t xml:space="preserve">Figure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Figure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2</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Independent variable - Likert scales</w:t>
                            </w:r>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Text Box 1" o:spid="_x0000_s1026" o:spt="202" type="#_x0000_t202" style="position:absolute;left:0pt;margin-left:10.75pt;margin-top:6.95pt;height:0.05pt;width:367.9pt;z-index:251662336;mso-width-relative:page;mso-height-relative:page;" fillcolor="#FFFFFF" filled="t" stroked="f" coordsize="21600,21600" o:gfxdata="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In8V2QAAAAgBAAAPAAAAAAAAAAEAIAAAACIAAABkcnMvZG93bnJldi54&#10;bWxQSwECFAAUAAAACACHTuJARZaixzICAAB6BAAADgAAAAAAAAABACAAAAAoAQAAZHJzL2Uyb0Rv&#10;Yy54bWxQSwUGAAAAAAYABgBZAQAAzAUAAAAA&#10;">
                <v:fill on="t" focussize="0,0"/>
                <v:stroke on="f"/>
                <v:imagedata o:title=""/>
                <o:lock v:ext="edit" aspectratio="f"/>
                <v:textbox inset="0mm,0mm,0mm,0mm" style="mso-fit-shape-to-text:t;">
                  <w:txbxContent>
                    <w:p>
                      <w:pPr>
                        <w:pStyle w:val="8"/>
                        <w:rPr>
                          <w:rFonts w:ascii="Times New Roman" w:hAnsi="Times New Roman" w:cs="Times New Roman"/>
                          <w:color w:val="auto"/>
                          <w:sz w:val="24"/>
                          <w:szCs w:val="24"/>
                        </w:rPr>
                      </w:pPr>
                      <w:r>
                        <w:rPr>
                          <w:rFonts w:ascii="Times New Roman" w:hAnsi="Times New Roman" w:cs="Times New Roman"/>
                          <w:color w:val="auto"/>
                          <w:sz w:val="24"/>
                          <w:szCs w:val="24"/>
                        </w:rPr>
                        <w:t xml:space="preserve">Figure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Figure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2</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Independent variable - Likert scales</w:t>
                      </w:r>
                    </w:p>
                  </w:txbxContent>
                </v:textbox>
              </v:shape>
            </w:pict>
          </mc:Fallback>
        </mc:AlternateContent>
      </w:r>
    </w:p>
    <w:p>
      <w:pPr>
        <w:spacing w:before="240" w:after="0" w:line="360" w:lineRule="auto"/>
        <w:jc w:val="both"/>
        <w:rPr>
          <w:rFonts w:ascii="Times New Roman" w:hAnsi="Times New Roman" w:cs="Times New Roman"/>
          <w:color w:val="000000" w:themeColor="text1"/>
          <w:sz w:val="24"/>
          <w:szCs w:val="24"/>
          <w14:textFill>
            <w14:solidFill>
              <w14:schemeClr w14:val="tx1"/>
            </w14:solidFill>
          </w14:textFill>
        </w:rPr>
      </w:pPr>
    </w:p>
    <w:p>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Mean Value of the; Location is 4.55, Price is 4.54, Legal Attribute is 4.53, Service is 4.11 based on the responses and each received Standard Deviation of 0.47, 0.46, 0.58 and 0.72 respectively. Therefore, all the attributes represent High Level of mean value based on the responses.</w:t>
      </w: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Mean Value of the convenient of life is 4 and have the 0.984 standard deviation and Enhancing Social Status received 3.3 that relatively lower amount with comparing, 1.155 standard deviation. Therefore, respondents’ intention was enhancing social status is not highly important but have a considerable effect. Accordingly latter is under the category of medium level however the overall effect as a mean value of consumer purchase intention calculated as 4.36 which is within the High Level.</w:t>
      </w: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pStyle w:val="8"/>
        <w:keepNext/>
        <w:rPr>
          <w:rFonts w:ascii="Times New Roman" w:hAnsi="Times New Roman" w:cs="Times New Roman"/>
          <w:color w:val="auto"/>
          <w:sz w:val="24"/>
          <w:szCs w:val="24"/>
        </w:rPr>
      </w:pPr>
      <w:r>
        <w:rPr>
          <w:rFonts w:ascii="Times New Roman" w:hAnsi="Times New Roman" w:cs="Times New Roman"/>
          <w:color w:val="auto"/>
          <w:sz w:val="24"/>
          <w:szCs w:val="24"/>
        </w:rPr>
        <w:t xml:space="preserve">Table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3</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Correlations Analysis</w:t>
      </w:r>
    </w:p>
    <w:tbl>
      <w:tblPr>
        <w:tblStyle w:val="6"/>
        <w:tblW w:w="8222" w:type="dxa"/>
        <w:tblInd w:w="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37"/>
        <w:gridCol w:w="1924"/>
        <w:gridCol w:w="1047"/>
        <w:gridCol w:w="1047"/>
        <w:gridCol w:w="1047"/>
        <w:gridCol w:w="1047"/>
        <w:gridCol w:w="11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69" w:hRule="atLeast"/>
        </w:trPr>
        <w:tc>
          <w:tcPr>
            <w:tcW w:w="8222" w:type="dxa"/>
            <w:gridSpan w:val="7"/>
            <w:tcBorders>
              <w:top w:val="double" w:color="auto" w:sz="4" w:space="0"/>
              <w:left w:val="double" w:color="auto" w:sz="4" w:space="0"/>
              <w:bottom w:val="double" w:color="auto" w:sz="4" w:space="0"/>
              <w:right w:val="double" w:color="auto" w:sz="4" w:space="0"/>
            </w:tcBorders>
            <w:shd w:val="clear" w:color="auto" w:fill="FFFFFF"/>
            <w:vAlign w:val="center"/>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b/>
                <w:bCs/>
                <w:color w:val="010205"/>
              </w:rPr>
              <w:t>Correlations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69" w:hRule="atLeast"/>
        </w:trPr>
        <w:tc>
          <w:tcPr>
            <w:tcW w:w="2861" w:type="dxa"/>
            <w:gridSpan w:val="2"/>
            <w:tcBorders>
              <w:top w:val="double" w:color="auto" w:sz="4" w:space="0"/>
              <w:left w:val="double" w:color="auto" w:sz="4" w:space="0"/>
              <w:bottom w:val="double" w:color="auto" w:sz="4" w:space="0"/>
            </w:tcBorders>
            <w:shd w:val="clear" w:color="auto" w:fill="FFFFFF"/>
            <w:vAlign w:val="bottom"/>
          </w:tcPr>
          <w:p>
            <w:pPr>
              <w:autoSpaceDE w:val="0"/>
              <w:autoSpaceDN w:val="0"/>
              <w:adjustRightInd w:val="0"/>
              <w:spacing w:after="0" w:line="360" w:lineRule="auto"/>
              <w:jc w:val="both"/>
              <w:rPr>
                <w:rFonts w:ascii="Times New Roman" w:hAnsi="Times New Roman" w:cs="Times New Roman"/>
              </w:rPr>
            </w:pPr>
          </w:p>
        </w:tc>
        <w:tc>
          <w:tcPr>
            <w:tcW w:w="1047" w:type="dxa"/>
            <w:tcBorders>
              <w:top w:val="double" w:color="auto" w:sz="4" w:space="0"/>
              <w:bottom w:val="double" w:color="auto" w:sz="4" w:space="0"/>
            </w:tcBorders>
            <w:shd w:val="clear" w:color="auto" w:fill="FFFFFF"/>
            <w:vAlign w:val="bottom"/>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Location</w:t>
            </w:r>
          </w:p>
        </w:tc>
        <w:tc>
          <w:tcPr>
            <w:tcW w:w="1047" w:type="dxa"/>
            <w:tcBorders>
              <w:top w:val="double" w:color="auto" w:sz="4" w:space="0"/>
              <w:bottom w:val="double" w:color="auto" w:sz="4" w:space="0"/>
            </w:tcBorders>
            <w:shd w:val="clear" w:color="auto" w:fill="FFFFFF"/>
            <w:vAlign w:val="bottom"/>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Price</w:t>
            </w:r>
          </w:p>
        </w:tc>
        <w:tc>
          <w:tcPr>
            <w:tcW w:w="1047" w:type="dxa"/>
            <w:tcBorders>
              <w:top w:val="double" w:color="auto" w:sz="4" w:space="0"/>
              <w:bottom w:val="double" w:color="auto" w:sz="4" w:space="0"/>
            </w:tcBorders>
            <w:shd w:val="clear" w:color="auto" w:fill="FFFFFF"/>
            <w:vAlign w:val="bottom"/>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Legal</w:t>
            </w:r>
          </w:p>
        </w:tc>
        <w:tc>
          <w:tcPr>
            <w:tcW w:w="1047" w:type="dxa"/>
            <w:tcBorders>
              <w:top w:val="double" w:color="auto" w:sz="4" w:space="0"/>
              <w:bottom w:val="double" w:color="auto" w:sz="4" w:space="0"/>
            </w:tcBorders>
            <w:shd w:val="clear" w:color="auto" w:fill="FFFFFF"/>
            <w:vAlign w:val="bottom"/>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Service</w:t>
            </w:r>
          </w:p>
        </w:tc>
        <w:tc>
          <w:tcPr>
            <w:tcW w:w="1173" w:type="dxa"/>
            <w:tcBorders>
              <w:top w:val="double" w:color="auto" w:sz="4" w:space="0"/>
              <w:bottom w:val="double" w:color="auto" w:sz="4" w:space="0"/>
              <w:right w:val="double" w:color="auto" w:sz="4" w:space="0"/>
            </w:tcBorders>
            <w:shd w:val="clear" w:color="auto" w:fill="FFFFFF"/>
            <w:vAlign w:val="bottom"/>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Intention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8" w:hRule="atLeast"/>
        </w:trPr>
        <w:tc>
          <w:tcPr>
            <w:tcW w:w="937" w:type="dxa"/>
            <w:vMerge w:val="restart"/>
            <w:tcBorders>
              <w:top w:val="double" w:color="auto" w:sz="4" w:space="0"/>
              <w:left w:val="double" w:color="auto" w:sz="4" w:space="0"/>
            </w:tcBorders>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Location</w:t>
            </w:r>
          </w:p>
        </w:tc>
        <w:tc>
          <w:tcPr>
            <w:tcW w:w="1924" w:type="dxa"/>
            <w:tcBorders>
              <w:top w:val="double" w:color="auto" w:sz="4" w:space="0"/>
            </w:tcBorders>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Pearson Correlation</w:t>
            </w:r>
          </w:p>
        </w:tc>
        <w:tc>
          <w:tcPr>
            <w:tcW w:w="1047" w:type="dxa"/>
            <w:tcBorders>
              <w:top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w:t>
            </w:r>
          </w:p>
        </w:tc>
        <w:tc>
          <w:tcPr>
            <w:tcW w:w="1047" w:type="dxa"/>
            <w:tcBorders>
              <w:top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.409</w:t>
            </w:r>
            <w:r>
              <w:rPr>
                <w:rFonts w:ascii="Times New Roman" w:hAnsi="Times New Roman" w:cs="Times New Roman"/>
                <w:color w:val="010205"/>
                <w:vertAlign w:val="superscript"/>
              </w:rPr>
              <w:t>**</w:t>
            </w:r>
          </w:p>
        </w:tc>
        <w:tc>
          <w:tcPr>
            <w:tcW w:w="1047" w:type="dxa"/>
            <w:tcBorders>
              <w:top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.426</w:t>
            </w:r>
            <w:r>
              <w:rPr>
                <w:rFonts w:ascii="Times New Roman" w:hAnsi="Times New Roman" w:cs="Times New Roman"/>
                <w:color w:val="010205"/>
                <w:vertAlign w:val="superscript"/>
              </w:rPr>
              <w:t>**</w:t>
            </w:r>
          </w:p>
        </w:tc>
        <w:tc>
          <w:tcPr>
            <w:tcW w:w="1047" w:type="dxa"/>
            <w:tcBorders>
              <w:top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.300</w:t>
            </w:r>
            <w:r>
              <w:rPr>
                <w:rFonts w:ascii="Times New Roman" w:hAnsi="Times New Roman" w:cs="Times New Roman"/>
                <w:color w:val="010205"/>
                <w:vertAlign w:val="superscript"/>
              </w:rPr>
              <w:t>**</w:t>
            </w:r>
          </w:p>
        </w:tc>
        <w:tc>
          <w:tcPr>
            <w:tcW w:w="1173" w:type="dxa"/>
            <w:tcBorders>
              <w:top w:val="double" w:color="auto" w:sz="4" w:space="0"/>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.108</w:t>
            </w:r>
            <w:r>
              <w:rPr>
                <w:rFonts w:ascii="Times New Roman" w:hAnsi="Times New Roman" w:cs="Times New Roman"/>
                <w:color w:val="010205"/>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color w:val="010205"/>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Sig. (2-tailed)</w:t>
            </w:r>
          </w:p>
        </w:tc>
        <w:tc>
          <w:tcPr>
            <w:tcW w:w="1047" w:type="dxa"/>
            <w:shd w:val="clear" w:color="auto" w:fill="F9F9FB"/>
            <w:vAlign w:val="center"/>
          </w:tcPr>
          <w:p>
            <w:pPr>
              <w:autoSpaceDE w:val="0"/>
              <w:autoSpaceDN w:val="0"/>
              <w:adjustRightInd w:val="0"/>
              <w:spacing w:after="0" w:line="360" w:lineRule="auto"/>
              <w:jc w:val="both"/>
              <w:rPr>
                <w:rFonts w:ascii="Times New Roman" w:hAnsi="Times New Roman" w:cs="Times New Roman"/>
              </w:rPr>
            </w:pP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&lt;.001</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&lt;.001</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&lt;.001</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color w:val="010205"/>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N</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8" w:hRule="atLeast"/>
        </w:trPr>
        <w:tc>
          <w:tcPr>
            <w:tcW w:w="937" w:type="dxa"/>
            <w:vMerge w:val="restart"/>
            <w:tcBorders>
              <w:left w:val="double" w:color="auto" w:sz="4" w:space="0"/>
            </w:tcBorders>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Price</w:t>
            </w: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Pearson Correlation</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.409</w:t>
            </w:r>
            <w:r>
              <w:rPr>
                <w:rFonts w:ascii="Times New Roman" w:hAnsi="Times New Roman" w:cs="Times New Roman"/>
                <w:color w:val="010205"/>
                <w:vertAlign w:val="superscript"/>
              </w:rPr>
              <w:t>**</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.158</w:t>
            </w:r>
            <w:r>
              <w:rPr>
                <w:rFonts w:ascii="Times New Roman" w:hAnsi="Times New Roman" w:cs="Times New Roman"/>
                <w:color w:val="010205"/>
                <w:vertAlign w:val="superscript"/>
              </w:rPr>
              <w:t>**</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.140</w:t>
            </w:r>
            <w:r>
              <w:rPr>
                <w:rFonts w:ascii="Times New Roman" w:hAnsi="Times New Roman" w:cs="Times New Roman"/>
                <w:color w:val="010205"/>
                <w:vertAlign w:val="superscript"/>
              </w:rPr>
              <w:t>**</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color w:val="010205"/>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Sig. (2-tailed)</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&lt;.001</w:t>
            </w:r>
          </w:p>
        </w:tc>
        <w:tc>
          <w:tcPr>
            <w:tcW w:w="1047" w:type="dxa"/>
            <w:shd w:val="clear" w:color="auto" w:fill="F9F9FB"/>
            <w:vAlign w:val="center"/>
          </w:tcPr>
          <w:p>
            <w:pPr>
              <w:autoSpaceDE w:val="0"/>
              <w:autoSpaceDN w:val="0"/>
              <w:adjustRightInd w:val="0"/>
              <w:spacing w:after="0" w:line="360" w:lineRule="auto"/>
              <w:jc w:val="both"/>
              <w:rPr>
                <w:rFonts w:ascii="Times New Roman" w:hAnsi="Times New Roman" w:cs="Times New Roman"/>
              </w:rPr>
            </w:pP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.002</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.006</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.516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color w:val="010205"/>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N</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8" w:hRule="atLeast"/>
        </w:trPr>
        <w:tc>
          <w:tcPr>
            <w:tcW w:w="937" w:type="dxa"/>
            <w:vMerge w:val="restart"/>
            <w:tcBorders>
              <w:left w:val="double" w:color="auto" w:sz="4" w:space="0"/>
            </w:tcBorders>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Legal</w:t>
            </w: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Pearson Correlation</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.426</w:t>
            </w:r>
            <w:r>
              <w:rPr>
                <w:rFonts w:ascii="Times New Roman" w:hAnsi="Times New Roman" w:cs="Times New Roman"/>
                <w:color w:val="010205"/>
                <w:vertAlign w:val="superscript"/>
              </w:rPr>
              <w:t>**</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.158</w:t>
            </w:r>
            <w:r>
              <w:rPr>
                <w:rFonts w:ascii="Times New Roman" w:hAnsi="Times New Roman" w:cs="Times New Roman"/>
                <w:color w:val="010205"/>
                <w:vertAlign w:val="superscript"/>
              </w:rPr>
              <w:t>**</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.577</w:t>
            </w:r>
            <w:r>
              <w:rPr>
                <w:rFonts w:ascii="Times New Roman" w:hAnsi="Times New Roman" w:cs="Times New Roman"/>
                <w:color w:val="010205"/>
                <w:vertAlign w:val="superscript"/>
              </w:rPr>
              <w:t>**</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.118</w:t>
            </w:r>
            <w:r>
              <w:rPr>
                <w:rFonts w:ascii="Times New Roman" w:hAnsi="Times New Roman" w:cs="Times New Roman"/>
                <w:color w:val="010205"/>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color w:val="010205"/>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Sig. (2-tailed)</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&lt;.001</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.002</w:t>
            </w:r>
          </w:p>
        </w:tc>
        <w:tc>
          <w:tcPr>
            <w:tcW w:w="1047" w:type="dxa"/>
            <w:shd w:val="clear" w:color="auto" w:fill="F9F9FB"/>
            <w:vAlign w:val="center"/>
          </w:tcPr>
          <w:p>
            <w:pPr>
              <w:autoSpaceDE w:val="0"/>
              <w:autoSpaceDN w:val="0"/>
              <w:adjustRightInd w:val="0"/>
              <w:spacing w:after="0" w:line="360" w:lineRule="auto"/>
              <w:jc w:val="both"/>
              <w:rPr>
                <w:rFonts w:ascii="Times New Roman" w:hAnsi="Times New Roman" w:cs="Times New Roman"/>
              </w:rPr>
            </w:pP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&lt;.001</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color w:val="010205"/>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N</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8" w:hRule="atLeast"/>
        </w:trPr>
        <w:tc>
          <w:tcPr>
            <w:tcW w:w="937" w:type="dxa"/>
            <w:vMerge w:val="restart"/>
            <w:tcBorders>
              <w:left w:val="double" w:color="auto" w:sz="4" w:space="0"/>
            </w:tcBorders>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Service</w:t>
            </w: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Pearson Correlation</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.300</w:t>
            </w:r>
            <w:r>
              <w:rPr>
                <w:rFonts w:ascii="Times New Roman" w:hAnsi="Times New Roman" w:cs="Times New Roman"/>
                <w:color w:val="010205"/>
                <w:vertAlign w:val="superscript"/>
              </w:rPr>
              <w:t>**</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.140</w:t>
            </w:r>
            <w:r>
              <w:rPr>
                <w:rFonts w:ascii="Times New Roman" w:hAnsi="Times New Roman" w:cs="Times New Roman"/>
                <w:color w:val="010205"/>
                <w:vertAlign w:val="superscript"/>
              </w:rPr>
              <w:t>**</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.577</w:t>
            </w:r>
            <w:r>
              <w:rPr>
                <w:rFonts w:ascii="Times New Roman" w:hAnsi="Times New Roman" w:cs="Times New Roman"/>
                <w:color w:val="010205"/>
                <w:vertAlign w:val="superscript"/>
              </w:rPr>
              <w:t>**</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color w:val="010205"/>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Sig. (2-tailed)</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&lt;.001</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.006</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&lt;.001</w:t>
            </w:r>
          </w:p>
        </w:tc>
        <w:tc>
          <w:tcPr>
            <w:tcW w:w="1047" w:type="dxa"/>
            <w:shd w:val="clear" w:color="auto" w:fill="F9F9FB"/>
            <w:vAlign w:val="center"/>
          </w:tcPr>
          <w:p>
            <w:pPr>
              <w:autoSpaceDE w:val="0"/>
              <w:autoSpaceDN w:val="0"/>
              <w:adjustRightInd w:val="0"/>
              <w:spacing w:after="0" w:line="360" w:lineRule="auto"/>
              <w:jc w:val="both"/>
              <w:rPr>
                <w:rFonts w:ascii="Times New Roman" w:hAnsi="Times New Roman" w:cs="Times New Roman"/>
              </w:rPr>
            </w:pP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color w:val="010205"/>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N</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8" w:hRule="atLeast"/>
        </w:trPr>
        <w:tc>
          <w:tcPr>
            <w:tcW w:w="937" w:type="dxa"/>
            <w:vMerge w:val="restart"/>
            <w:tcBorders>
              <w:left w:val="double" w:color="auto" w:sz="4" w:space="0"/>
            </w:tcBorders>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Intention</w:t>
            </w: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Pearson Correlation</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.108</w:t>
            </w:r>
            <w:r>
              <w:rPr>
                <w:rFonts w:ascii="Times New Roman" w:hAnsi="Times New Roman" w:cs="Times New Roman"/>
                <w:color w:val="010205"/>
                <w:vertAlign w:val="superscript"/>
              </w:rPr>
              <w:t>*</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.033</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.118</w:t>
            </w:r>
            <w:r>
              <w:rPr>
                <w:rFonts w:ascii="Times New Roman" w:hAnsi="Times New Roman" w:cs="Times New Roman"/>
                <w:color w:val="010205"/>
                <w:vertAlign w:val="superscript"/>
              </w:rPr>
              <w:t>*</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.085</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color w:val="010205"/>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Sig. (2-tailed)</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.033</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.516</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.020</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.095</w:t>
            </w:r>
          </w:p>
        </w:tc>
        <w:tc>
          <w:tcPr>
            <w:tcW w:w="1173" w:type="dxa"/>
            <w:tcBorders>
              <w:right w:val="double" w:color="auto" w:sz="4" w:space="0"/>
            </w:tcBorders>
            <w:shd w:val="clear" w:color="auto" w:fill="F9F9FB"/>
            <w:vAlign w:val="center"/>
          </w:tcPr>
          <w:p>
            <w:pPr>
              <w:autoSpaceDE w:val="0"/>
              <w:autoSpaceDN w:val="0"/>
              <w:adjustRightInd w:val="0"/>
              <w:spacing w:after="0" w:line="360" w:lineRule="auto"/>
              <w:jc w:val="both"/>
              <w:rPr>
                <w:rFonts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937" w:type="dxa"/>
            <w:vMerge w:val="continue"/>
            <w:tcBorders>
              <w:left w:val="double" w:color="auto" w:sz="4" w:space="0"/>
            </w:tcBorders>
            <w:shd w:val="clear" w:color="auto" w:fill="E0E0E0"/>
          </w:tcPr>
          <w:p>
            <w:pPr>
              <w:autoSpaceDE w:val="0"/>
              <w:autoSpaceDN w:val="0"/>
              <w:adjustRightInd w:val="0"/>
              <w:spacing w:after="0" w:line="360" w:lineRule="auto"/>
              <w:jc w:val="both"/>
              <w:rPr>
                <w:rFonts w:ascii="Times New Roman" w:hAnsi="Times New Roman" w:cs="Times New Roman"/>
              </w:rPr>
            </w:pPr>
          </w:p>
        </w:tc>
        <w:tc>
          <w:tcPr>
            <w:tcW w:w="1924" w:type="dxa"/>
            <w:shd w:val="clear" w:color="auto" w:fill="E0E0E0"/>
          </w:tcPr>
          <w:p>
            <w:pPr>
              <w:autoSpaceDE w:val="0"/>
              <w:autoSpaceDN w:val="0"/>
              <w:adjustRightInd w:val="0"/>
              <w:spacing w:after="0" w:line="360" w:lineRule="auto"/>
              <w:ind w:left="60" w:right="60"/>
              <w:jc w:val="both"/>
              <w:rPr>
                <w:rFonts w:ascii="Times New Roman" w:hAnsi="Times New Roman" w:cs="Times New Roman"/>
                <w:color w:val="264A60"/>
              </w:rPr>
            </w:pPr>
            <w:r>
              <w:rPr>
                <w:rFonts w:ascii="Times New Roman" w:hAnsi="Times New Roman" w:cs="Times New Roman"/>
                <w:color w:val="264A60"/>
              </w:rPr>
              <w:t>N</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047" w:type="dxa"/>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c>
          <w:tcPr>
            <w:tcW w:w="1173" w:type="dxa"/>
            <w:tcBorders>
              <w:right w:val="double" w:color="auto" w:sz="4" w:space="0"/>
            </w:tcBorders>
            <w:shd w:val="clear" w:color="auto" w:fill="F9F9FB"/>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389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69" w:hRule="atLeast"/>
        </w:trPr>
        <w:tc>
          <w:tcPr>
            <w:tcW w:w="8222" w:type="dxa"/>
            <w:gridSpan w:val="7"/>
            <w:tcBorders>
              <w:left w:val="double" w:color="auto" w:sz="4" w:space="0"/>
              <w:right w:val="double" w:color="auto" w:sz="4" w:space="0"/>
            </w:tcBorders>
            <w:shd w:val="clear" w:color="auto" w:fill="FFFFFF"/>
          </w:tcPr>
          <w:p>
            <w:pPr>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 Correlation is significant at the 0.01 level (2-tailed).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21" w:hRule="atLeast"/>
        </w:trPr>
        <w:tc>
          <w:tcPr>
            <w:tcW w:w="8222" w:type="dxa"/>
            <w:gridSpan w:val="7"/>
            <w:tcBorders>
              <w:left w:val="double" w:color="auto" w:sz="4" w:space="0"/>
              <w:bottom w:val="double" w:color="auto" w:sz="4" w:space="0"/>
              <w:right w:val="double" w:color="auto" w:sz="4" w:space="0"/>
            </w:tcBorders>
            <w:shd w:val="clear" w:color="auto" w:fill="FFFFFF"/>
          </w:tcPr>
          <w:p>
            <w:pPr>
              <w:keepNext/>
              <w:autoSpaceDE w:val="0"/>
              <w:autoSpaceDN w:val="0"/>
              <w:adjustRightInd w:val="0"/>
              <w:spacing w:after="0" w:line="360" w:lineRule="auto"/>
              <w:ind w:left="60" w:right="60"/>
              <w:jc w:val="both"/>
              <w:rPr>
                <w:rFonts w:ascii="Times New Roman" w:hAnsi="Times New Roman" w:cs="Times New Roman"/>
                <w:color w:val="010205"/>
              </w:rPr>
            </w:pPr>
            <w:r>
              <w:rPr>
                <w:rFonts w:ascii="Times New Roman" w:hAnsi="Times New Roman" w:cs="Times New Roman"/>
                <w:color w:val="010205"/>
              </w:rPr>
              <w:t>*. Correlation is significant at the 0.05 level (2-tailed).</w:t>
            </w:r>
          </w:p>
        </w:tc>
      </w:tr>
    </w:tbl>
    <w:p>
      <w:pPr>
        <w:spacing w:line="360" w:lineRule="auto"/>
        <w:jc w:val="both"/>
        <w:rPr>
          <w:rFonts w:ascii="Times New Roman" w:hAnsi="Times New Roman" w:cs="Times New Roman"/>
          <w:color w:val="000000" w:themeColor="text1"/>
          <w:sz w:val="24"/>
          <w:szCs w:val="24"/>
          <w14:textFill>
            <w14:solidFill>
              <w14:schemeClr w14:val="tx1"/>
            </w14:solidFill>
          </w14:textFill>
        </w:rPr>
      </w:pP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Since all the values are within 0 to +1 it can be analyzed that Consumer purchasing Intention has a moderately positive relationship with independent variables.</w:t>
      </w: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pStyle w:val="8"/>
        <w:keepNext/>
        <w:rPr>
          <w:rFonts w:ascii="Times New Roman" w:hAnsi="Times New Roman" w:cs="Times New Roman"/>
          <w:color w:val="auto"/>
          <w:sz w:val="24"/>
          <w:szCs w:val="24"/>
        </w:rPr>
      </w:pPr>
      <w:r>
        <w:rPr>
          <w:rFonts w:ascii="Times New Roman" w:hAnsi="Times New Roman" w:cs="Times New Roman"/>
          <w:color w:val="auto"/>
          <w:sz w:val="24"/>
          <w:szCs w:val="24"/>
        </w:rPr>
        <w:t xml:space="preserve">Table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4</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Model Summary</w:t>
      </w:r>
    </w:p>
    <w:tbl>
      <w:tblPr>
        <w:tblStyle w:val="6"/>
        <w:tblW w:w="667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58"/>
        <w:gridCol w:w="1191"/>
        <w:gridCol w:w="1191"/>
        <w:gridCol w:w="1718"/>
        <w:gridCol w:w="1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6676" w:type="dxa"/>
            <w:gridSpan w:val="5"/>
            <w:tcBorders>
              <w:top w:val="double" w:color="auto" w:sz="4" w:space="0"/>
              <w:left w:val="double" w:color="auto" w:sz="4" w:space="0"/>
              <w:bottom w:val="double" w:color="auto" w:sz="4" w:space="0"/>
              <w:right w:val="double" w:color="auto" w:sz="4" w:space="0"/>
            </w:tcBorders>
            <w:shd w:val="clear" w:color="auto" w:fill="FFFFFF"/>
            <w:vAlign w:val="center"/>
          </w:tcPr>
          <w:p>
            <w:pPr>
              <w:autoSpaceDE w:val="0"/>
              <w:autoSpaceDN w:val="0"/>
              <w:adjustRightInd w:val="0"/>
              <w:spacing w:after="0" w:line="360" w:lineRule="auto"/>
              <w:ind w:left="60" w:right="60"/>
              <w:jc w:val="both"/>
              <w:rPr>
                <w:rFonts w:ascii="Times New Roman" w:hAnsi="Times New Roman" w:cs="Times New Roman"/>
                <w:color w:val="010205"/>
                <w:sz w:val="24"/>
                <w:szCs w:val="24"/>
              </w:rPr>
            </w:pPr>
            <w:r>
              <w:rPr>
                <w:rFonts w:ascii="Times New Roman" w:hAnsi="Times New Roman" w:cs="Times New Roman"/>
                <w:b/>
                <w:bCs/>
                <w:color w:val="010205"/>
                <w:sz w:val="24"/>
                <w:szCs w:val="24"/>
              </w:rPr>
              <w:t>Model Summary</w:t>
            </w:r>
            <w:r>
              <w:rPr>
                <w:rFonts w:ascii="Times New Roman" w:hAnsi="Times New Roman" w:cs="Times New Roman"/>
                <w:b/>
                <w:bCs/>
                <w:color w:val="010205"/>
                <w:sz w:val="24"/>
                <w:szCs w:val="24"/>
                <w:vertAlign w:val="superscript"/>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858" w:type="dxa"/>
            <w:tcBorders>
              <w:top w:val="double" w:color="auto" w:sz="4" w:space="0"/>
              <w:left w:val="double" w:color="auto" w:sz="4" w:space="0"/>
              <w:bottom w:val="double" w:color="auto" w:sz="4" w:space="0"/>
            </w:tcBorders>
            <w:shd w:val="clear" w:color="auto" w:fill="FFFFFF"/>
            <w:vAlign w:val="bottom"/>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Model</w:t>
            </w:r>
          </w:p>
        </w:tc>
        <w:tc>
          <w:tcPr>
            <w:tcW w:w="1191" w:type="dxa"/>
            <w:tcBorders>
              <w:top w:val="double" w:color="auto" w:sz="4" w:space="0"/>
              <w:bottom w:val="double" w:color="auto" w:sz="4" w:space="0"/>
            </w:tcBorders>
            <w:shd w:val="clear" w:color="auto" w:fill="FFFFFF"/>
            <w:vAlign w:val="bottom"/>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R</w:t>
            </w:r>
          </w:p>
        </w:tc>
        <w:tc>
          <w:tcPr>
            <w:tcW w:w="1191" w:type="dxa"/>
            <w:tcBorders>
              <w:top w:val="double" w:color="auto" w:sz="4" w:space="0"/>
              <w:bottom w:val="double" w:color="auto" w:sz="4" w:space="0"/>
            </w:tcBorders>
            <w:shd w:val="clear" w:color="auto" w:fill="FFFFFF"/>
            <w:vAlign w:val="bottom"/>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R Square</w:t>
            </w:r>
          </w:p>
        </w:tc>
        <w:tc>
          <w:tcPr>
            <w:tcW w:w="1718" w:type="dxa"/>
            <w:tcBorders>
              <w:top w:val="double" w:color="auto" w:sz="4" w:space="0"/>
              <w:bottom w:val="double" w:color="auto" w:sz="4" w:space="0"/>
            </w:tcBorders>
            <w:shd w:val="clear" w:color="auto" w:fill="FFFFFF"/>
            <w:vAlign w:val="bottom"/>
          </w:tcPr>
          <w:p>
            <w:pPr>
              <w:autoSpaceDE w:val="0"/>
              <w:autoSpaceDN w:val="0"/>
              <w:adjustRightInd w:val="0"/>
              <w:spacing w:after="0" w:line="24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Adjusted R Square</w:t>
            </w:r>
          </w:p>
        </w:tc>
        <w:tc>
          <w:tcPr>
            <w:tcW w:w="1718" w:type="dxa"/>
            <w:tcBorders>
              <w:top w:val="double" w:color="auto" w:sz="4" w:space="0"/>
              <w:bottom w:val="double" w:color="auto" w:sz="4" w:space="0"/>
              <w:right w:val="double" w:color="auto" w:sz="4" w:space="0"/>
            </w:tcBorders>
            <w:shd w:val="clear" w:color="auto" w:fill="FFFFFF"/>
            <w:vAlign w:val="bottom"/>
          </w:tcPr>
          <w:p>
            <w:pPr>
              <w:autoSpaceDE w:val="0"/>
              <w:autoSpaceDN w:val="0"/>
              <w:adjustRightInd w:val="0"/>
              <w:spacing w:after="0" w:line="24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Std. Error of the Estimate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858" w:type="dxa"/>
            <w:tcBorders>
              <w:top w:val="double" w:color="auto" w:sz="4" w:space="0"/>
              <w:left w:val="double" w:color="auto" w:sz="4" w:space="0"/>
            </w:tcBorders>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1</w:t>
            </w:r>
          </w:p>
        </w:tc>
        <w:tc>
          <w:tcPr>
            <w:tcW w:w="1191"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.809</w:t>
            </w:r>
            <w:r>
              <w:rPr>
                <w:rFonts w:ascii="Times New Roman" w:hAnsi="Times New Roman" w:cs="Times New Roman"/>
                <w:color w:val="010205"/>
                <w:sz w:val="24"/>
                <w:szCs w:val="24"/>
                <w:vertAlign w:val="superscript"/>
              </w:rPr>
              <w:t>a</w:t>
            </w:r>
          </w:p>
        </w:tc>
        <w:tc>
          <w:tcPr>
            <w:tcW w:w="1191"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.665</w:t>
            </w:r>
          </w:p>
        </w:tc>
        <w:tc>
          <w:tcPr>
            <w:tcW w:w="1718"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.645</w:t>
            </w:r>
          </w:p>
        </w:tc>
        <w:tc>
          <w:tcPr>
            <w:tcW w:w="1718" w:type="dxa"/>
            <w:tcBorders>
              <w:top w:val="double" w:color="auto" w:sz="4" w:space="0"/>
              <w:right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.54433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6676" w:type="dxa"/>
            <w:gridSpan w:val="5"/>
            <w:tcBorders>
              <w:left w:val="double" w:color="auto" w:sz="4" w:space="0"/>
              <w:right w:val="double" w:color="auto" w:sz="4" w:space="0"/>
            </w:tcBorders>
            <w:shd w:val="clear" w:color="auto" w:fill="FFFFFF"/>
          </w:tcPr>
          <w:p>
            <w:pPr>
              <w:autoSpaceDE w:val="0"/>
              <w:autoSpaceDN w:val="0"/>
              <w:adjustRightInd w:val="0"/>
              <w:spacing w:after="0"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a. Predictors: (Constant), Service, Price, Location, Legal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6676" w:type="dxa"/>
            <w:gridSpan w:val="5"/>
            <w:tcBorders>
              <w:left w:val="double" w:color="auto" w:sz="4" w:space="0"/>
              <w:bottom w:val="double" w:color="auto" w:sz="4" w:space="0"/>
              <w:right w:val="double" w:color="auto" w:sz="4" w:space="0"/>
            </w:tcBorders>
            <w:shd w:val="clear" w:color="auto" w:fill="FFFFFF"/>
          </w:tcPr>
          <w:p>
            <w:pPr>
              <w:keepNext/>
              <w:autoSpaceDE w:val="0"/>
              <w:autoSpaceDN w:val="0"/>
              <w:adjustRightInd w:val="0"/>
              <w:spacing w:after="0"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b. Dependent Variable: Intention</w:t>
            </w:r>
          </w:p>
        </w:tc>
      </w:tr>
    </w:tbl>
    <w:p>
      <w:pPr>
        <w:spacing w:after="0" w:line="360" w:lineRule="auto"/>
        <w:jc w:val="both"/>
        <w:rPr>
          <w:rFonts w:ascii="Times New Roman" w:hAnsi="Times New Roman" w:cs="Times New Roman"/>
          <w:color w:val="000000" w:themeColor="text1"/>
          <w:sz w:val="24"/>
          <w:szCs w:val="24"/>
          <w14:textFill>
            <w14:solidFill>
              <w14:schemeClr w14:val="tx1"/>
            </w14:solidFill>
          </w14:textFill>
        </w:rPr>
      </w:pPr>
    </w:p>
    <w:p>
      <w:pPr>
        <w:pStyle w:val="8"/>
        <w:keepNext/>
        <w:rPr>
          <w:rFonts w:ascii="Times New Roman" w:hAnsi="Times New Roman" w:cs="Times New Roman"/>
          <w:color w:val="auto"/>
          <w:sz w:val="24"/>
          <w:szCs w:val="24"/>
        </w:rPr>
      </w:pPr>
      <w:r>
        <w:rPr>
          <w:rFonts w:ascii="Times New Roman" w:hAnsi="Times New Roman" w:cs="Times New Roman"/>
          <w:color w:val="auto"/>
          <w:sz w:val="24"/>
          <w:szCs w:val="24"/>
        </w:rPr>
        <w:t xml:space="preserve">Table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5</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ANOVA</w:t>
      </w:r>
    </w:p>
    <w:tbl>
      <w:tblPr>
        <w:tblStyle w:val="6"/>
        <w:tblW w:w="7475" w:type="dxa"/>
        <w:tblInd w:w="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45"/>
        <w:gridCol w:w="1260"/>
        <w:gridCol w:w="1710"/>
        <w:gridCol w:w="630"/>
        <w:gridCol w:w="1530"/>
        <w:gridCol w:w="990"/>
        <w:gridCol w:w="8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15" w:hRule="atLeast"/>
        </w:trPr>
        <w:tc>
          <w:tcPr>
            <w:tcW w:w="7475" w:type="dxa"/>
            <w:gridSpan w:val="7"/>
            <w:tcBorders>
              <w:top w:val="double" w:color="auto" w:sz="4" w:space="0"/>
              <w:left w:val="double" w:color="auto" w:sz="4" w:space="0"/>
              <w:right w:val="double" w:color="auto" w:sz="4" w:space="0"/>
            </w:tcBorders>
            <w:shd w:val="clear" w:color="auto" w:fill="FFFFFF"/>
            <w:vAlign w:val="center"/>
          </w:tcPr>
          <w:p>
            <w:pPr>
              <w:autoSpaceDE w:val="0"/>
              <w:autoSpaceDN w:val="0"/>
              <w:adjustRightInd w:val="0"/>
              <w:spacing w:after="0" w:line="360" w:lineRule="auto"/>
              <w:ind w:left="60" w:right="60"/>
              <w:jc w:val="both"/>
              <w:rPr>
                <w:rFonts w:ascii="Times New Roman" w:hAnsi="Times New Roman" w:cs="Times New Roman"/>
                <w:color w:val="010205"/>
                <w:sz w:val="24"/>
                <w:szCs w:val="24"/>
              </w:rPr>
            </w:pPr>
            <w:r>
              <w:rPr>
                <w:rFonts w:ascii="Times New Roman" w:hAnsi="Times New Roman" w:cs="Times New Roman"/>
                <w:b/>
                <w:bCs/>
                <w:color w:val="010205"/>
                <w:sz w:val="24"/>
                <w:szCs w:val="24"/>
              </w:rPr>
              <w:t>ANOVA</w:t>
            </w:r>
            <w:r>
              <w:rPr>
                <w:rFonts w:ascii="Times New Roman" w:hAnsi="Times New Roman" w:cs="Times New Roman"/>
                <w:b/>
                <w:bCs/>
                <w:color w:val="010205"/>
                <w:sz w:val="24"/>
                <w:szCs w:val="24"/>
                <w:vertAlign w:val="superscript"/>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0" w:hRule="atLeast"/>
        </w:trPr>
        <w:tc>
          <w:tcPr>
            <w:tcW w:w="1805" w:type="dxa"/>
            <w:gridSpan w:val="2"/>
            <w:tcBorders>
              <w:top w:val="double" w:color="auto" w:sz="4" w:space="0"/>
              <w:left w:val="double" w:color="auto" w:sz="4" w:space="0"/>
              <w:bottom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Model</w:t>
            </w:r>
          </w:p>
        </w:tc>
        <w:tc>
          <w:tcPr>
            <w:tcW w:w="1710" w:type="dxa"/>
            <w:tcBorders>
              <w:top w:val="double" w:color="auto" w:sz="4" w:space="0"/>
              <w:bottom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Sum of Squares</w:t>
            </w:r>
          </w:p>
        </w:tc>
        <w:tc>
          <w:tcPr>
            <w:tcW w:w="630" w:type="dxa"/>
            <w:tcBorders>
              <w:top w:val="double" w:color="auto" w:sz="4" w:space="0"/>
              <w:bottom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df</w:t>
            </w:r>
          </w:p>
        </w:tc>
        <w:tc>
          <w:tcPr>
            <w:tcW w:w="1530" w:type="dxa"/>
            <w:tcBorders>
              <w:top w:val="double" w:color="auto" w:sz="4" w:space="0"/>
              <w:bottom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Mean Square</w:t>
            </w:r>
          </w:p>
        </w:tc>
        <w:tc>
          <w:tcPr>
            <w:tcW w:w="990" w:type="dxa"/>
            <w:tcBorders>
              <w:top w:val="double" w:color="auto" w:sz="4" w:space="0"/>
              <w:bottom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F</w:t>
            </w:r>
          </w:p>
        </w:tc>
        <w:tc>
          <w:tcPr>
            <w:tcW w:w="810" w:type="dxa"/>
            <w:tcBorders>
              <w:top w:val="double" w:color="auto" w:sz="4" w:space="0"/>
              <w:bottom w:val="double" w:color="auto" w:sz="4" w:space="0"/>
              <w:right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Sig.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0" w:hRule="atLeast"/>
        </w:trPr>
        <w:tc>
          <w:tcPr>
            <w:tcW w:w="545" w:type="dxa"/>
            <w:vMerge w:val="restart"/>
            <w:tcBorders>
              <w:top w:val="double" w:color="auto" w:sz="4" w:space="0"/>
              <w:left w:val="double" w:color="auto" w:sz="4" w:space="0"/>
            </w:tcBorders>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1</w:t>
            </w:r>
          </w:p>
        </w:tc>
        <w:tc>
          <w:tcPr>
            <w:tcW w:w="1260" w:type="dxa"/>
            <w:tcBorders>
              <w:top w:val="double" w:color="auto" w:sz="4" w:space="0"/>
            </w:tcBorders>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Regression</w:t>
            </w:r>
          </w:p>
        </w:tc>
        <w:tc>
          <w:tcPr>
            <w:tcW w:w="1710"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55.907</w:t>
            </w:r>
          </w:p>
        </w:tc>
        <w:tc>
          <w:tcPr>
            <w:tcW w:w="630"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3</w:t>
            </w:r>
          </w:p>
        </w:tc>
        <w:tc>
          <w:tcPr>
            <w:tcW w:w="1530"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18.637</w:t>
            </w:r>
          </w:p>
        </w:tc>
        <w:tc>
          <w:tcPr>
            <w:tcW w:w="990"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60.696</w:t>
            </w:r>
          </w:p>
        </w:tc>
        <w:tc>
          <w:tcPr>
            <w:tcW w:w="810" w:type="dxa"/>
            <w:tcBorders>
              <w:top w:val="double" w:color="auto" w:sz="4" w:space="0"/>
              <w:right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.001</w:t>
            </w:r>
            <w:r>
              <w:rPr>
                <w:rFonts w:ascii="Times New Roman" w:hAnsi="Times New Roman" w:cs="Times New Roman"/>
                <w:color w:val="010205"/>
                <w:sz w:val="24"/>
                <w:szCs w:val="24"/>
                <w:vertAlign w:val="superscript"/>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42" w:hRule="atLeast"/>
        </w:trPr>
        <w:tc>
          <w:tcPr>
            <w:tcW w:w="545" w:type="dxa"/>
            <w:vMerge w:val="continue"/>
            <w:tcBorders>
              <w:left w:val="double" w:color="auto" w:sz="4" w:space="0"/>
            </w:tcBorders>
            <w:shd w:val="clear" w:color="auto" w:fill="E0E0E0"/>
            <w:vAlign w:val="center"/>
          </w:tcPr>
          <w:p>
            <w:pPr>
              <w:autoSpaceDE w:val="0"/>
              <w:autoSpaceDN w:val="0"/>
              <w:adjustRightInd w:val="0"/>
              <w:spacing w:after="0" w:line="360" w:lineRule="auto"/>
              <w:jc w:val="center"/>
              <w:rPr>
                <w:rFonts w:ascii="Times New Roman" w:hAnsi="Times New Roman" w:cs="Times New Roman"/>
                <w:color w:val="010205"/>
                <w:sz w:val="24"/>
                <w:szCs w:val="24"/>
              </w:rPr>
            </w:pPr>
          </w:p>
        </w:tc>
        <w:tc>
          <w:tcPr>
            <w:tcW w:w="1260" w:type="dxa"/>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Residual</w:t>
            </w:r>
          </w:p>
        </w:tc>
        <w:tc>
          <w:tcPr>
            <w:tcW w:w="171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29.475</w:t>
            </w:r>
          </w:p>
        </w:tc>
        <w:tc>
          <w:tcPr>
            <w:tcW w:w="63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384</w:t>
            </w:r>
          </w:p>
        </w:tc>
        <w:tc>
          <w:tcPr>
            <w:tcW w:w="153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.307</w:t>
            </w:r>
          </w:p>
        </w:tc>
        <w:tc>
          <w:tcPr>
            <w:tcW w:w="990" w:type="dxa"/>
            <w:shd w:val="clear" w:color="auto" w:fill="F9F9FB"/>
            <w:vAlign w:val="center"/>
          </w:tcPr>
          <w:p>
            <w:pPr>
              <w:autoSpaceDE w:val="0"/>
              <w:autoSpaceDN w:val="0"/>
              <w:adjustRightInd w:val="0"/>
              <w:spacing w:after="0" w:line="360" w:lineRule="auto"/>
              <w:jc w:val="center"/>
              <w:rPr>
                <w:rFonts w:ascii="Times New Roman" w:hAnsi="Times New Roman" w:cs="Times New Roman"/>
                <w:sz w:val="24"/>
                <w:szCs w:val="24"/>
              </w:rPr>
            </w:pPr>
          </w:p>
        </w:tc>
        <w:tc>
          <w:tcPr>
            <w:tcW w:w="810" w:type="dxa"/>
            <w:tcBorders>
              <w:right w:val="double" w:color="auto" w:sz="4" w:space="0"/>
            </w:tcBorders>
            <w:shd w:val="clear" w:color="auto" w:fill="F9F9FB"/>
            <w:vAlign w:val="center"/>
          </w:tcPr>
          <w:p>
            <w:pPr>
              <w:autoSpaceDE w:val="0"/>
              <w:autoSpaceDN w:val="0"/>
              <w:adjustRightInd w:val="0"/>
              <w:spacing w:after="0" w:line="360" w:lineRule="auto"/>
              <w:jc w:val="center"/>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42" w:hRule="atLeast"/>
        </w:trPr>
        <w:tc>
          <w:tcPr>
            <w:tcW w:w="545" w:type="dxa"/>
            <w:vMerge w:val="continue"/>
            <w:tcBorders>
              <w:left w:val="double" w:color="auto" w:sz="4" w:space="0"/>
            </w:tcBorders>
            <w:shd w:val="clear" w:color="auto" w:fill="E0E0E0"/>
            <w:vAlign w:val="center"/>
          </w:tcPr>
          <w:p>
            <w:pPr>
              <w:autoSpaceDE w:val="0"/>
              <w:autoSpaceDN w:val="0"/>
              <w:adjustRightInd w:val="0"/>
              <w:spacing w:after="0" w:line="360" w:lineRule="auto"/>
              <w:jc w:val="center"/>
              <w:rPr>
                <w:rFonts w:ascii="Times New Roman" w:hAnsi="Times New Roman" w:cs="Times New Roman"/>
                <w:sz w:val="24"/>
                <w:szCs w:val="24"/>
              </w:rPr>
            </w:pPr>
          </w:p>
        </w:tc>
        <w:tc>
          <w:tcPr>
            <w:tcW w:w="1260" w:type="dxa"/>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Total</w:t>
            </w:r>
          </w:p>
        </w:tc>
        <w:tc>
          <w:tcPr>
            <w:tcW w:w="171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85.382</w:t>
            </w:r>
          </w:p>
        </w:tc>
        <w:tc>
          <w:tcPr>
            <w:tcW w:w="63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388</w:t>
            </w:r>
          </w:p>
        </w:tc>
        <w:tc>
          <w:tcPr>
            <w:tcW w:w="1530" w:type="dxa"/>
            <w:shd w:val="clear" w:color="auto" w:fill="F9F9FB"/>
            <w:vAlign w:val="center"/>
          </w:tcPr>
          <w:p>
            <w:pPr>
              <w:autoSpaceDE w:val="0"/>
              <w:autoSpaceDN w:val="0"/>
              <w:adjustRightInd w:val="0"/>
              <w:spacing w:after="0" w:line="360" w:lineRule="auto"/>
              <w:jc w:val="center"/>
              <w:rPr>
                <w:rFonts w:ascii="Times New Roman" w:hAnsi="Times New Roman" w:cs="Times New Roman"/>
                <w:sz w:val="24"/>
                <w:szCs w:val="24"/>
              </w:rPr>
            </w:pPr>
          </w:p>
        </w:tc>
        <w:tc>
          <w:tcPr>
            <w:tcW w:w="990" w:type="dxa"/>
            <w:shd w:val="clear" w:color="auto" w:fill="F9F9FB"/>
            <w:vAlign w:val="center"/>
          </w:tcPr>
          <w:p>
            <w:pPr>
              <w:autoSpaceDE w:val="0"/>
              <w:autoSpaceDN w:val="0"/>
              <w:adjustRightInd w:val="0"/>
              <w:spacing w:after="0" w:line="360" w:lineRule="auto"/>
              <w:jc w:val="center"/>
              <w:rPr>
                <w:rFonts w:ascii="Times New Roman" w:hAnsi="Times New Roman" w:cs="Times New Roman"/>
                <w:sz w:val="24"/>
                <w:szCs w:val="24"/>
              </w:rPr>
            </w:pPr>
          </w:p>
        </w:tc>
        <w:tc>
          <w:tcPr>
            <w:tcW w:w="810" w:type="dxa"/>
            <w:tcBorders>
              <w:right w:val="double" w:color="auto" w:sz="4" w:space="0"/>
            </w:tcBorders>
            <w:shd w:val="clear" w:color="auto" w:fill="F9F9FB"/>
            <w:vAlign w:val="center"/>
          </w:tcPr>
          <w:p>
            <w:pPr>
              <w:autoSpaceDE w:val="0"/>
              <w:autoSpaceDN w:val="0"/>
              <w:adjustRightInd w:val="0"/>
              <w:spacing w:after="0" w:line="360" w:lineRule="auto"/>
              <w:jc w:val="center"/>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0" w:hRule="atLeast"/>
        </w:trPr>
        <w:tc>
          <w:tcPr>
            <w:tcW w:w="7475" w:type="dxa"/>
            <w:gridSpan w:val="7"/>
            <w:tcBorders>
              <w:left w:val="double" w:color="auto" w:sz="4" w:space="0"/>
              <w:right w:val="double" w:color="auto" w:sz="4" w:space="0"/>
            </w:tcBorders>
            <w:shd w:val="clear" w:color="auto" w:fill="FFFFFF"/>
          </w:tcPr>
          <w:p>
            <w:pPr>
              <w:autoSpaceDE w:val="0"/>
              <w:autoSpaceDN w:val="0"/>
              <w:adjustRightInd w:val="0"/>
              <w:spacing w:after="0"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a. Dependent Variable: Intention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15" w:hRule="atLeast"/>
        </w:trPr>
        <w:tc>
          <w:tcPr>
            <w:tcW w:w="7475" w:type="dxa"/>
            <w:gridSpan w:val="7"/>
            <w:tcBorders>
              <w:left w:val="double" w:color="auto" w:sz="4" w:space="0"/>
              <w:bottom w:val="double" w:color="auto" w:sz="4" w:space="0"/>
              <w:right w:val="double" w:color="auto" w:sz="4" w:space="0"/>
            </w:tcBorders>
            <w:shd w:val="clear" w:color="auto" w:fill="FFFFFF"/>
          </w:tcPr>
          <w:p>
            <w:pPr>
              <w:keepNext/>
              <w:autoSpaceDE w:val="0"/>
              <w:autoSpaceDN w:val="0"/>
              <w:adjustRightInd w:val="0"/>
              <w:spacing w:after="0"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b. Predictors: (Constant), Service, Price, Location, Legal</w:t>
            </w:r>
          </w:p>
        </w:tc>
      </w:tr>
    </w:tbl>
    <w:p>
      <w:pPr>
        <w:spacing w:line="240" w:lineRule="auto"/>
        <w:jc w:val="both"/>
        <w:rPr>
          <w:rFonts w:ascii="Times New Roman" w:hAnsi="Times New Roman" w:cs="Times New Roman"/>
          <w:sz w:val="2"/>
          <w:szCs w:val="24"/>
        </w:rPr>
      </w:pPr>
    </w:p>
    <w:p>
      <w:pPr>
        <w:spacing w:after="0"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r>
        <w:rPr>
          <w:rFonts w:ascii="Times New Roman" w:hAnsi="Times New Roman" w:cs="Times New Roman"/>
          <w:sz w:val="24"/>
          <w:szCs w:val="24"/>
        </w:rPr>
        <w:t>R squared Value derived as 0.665 (65.5%). It can be argued that overall impact of the determinants including Location, Price, Legal attributes and Services is 65.5%.</w:t>
      </w: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p>
    <w:p>
      <w:pPr>
        <w:pStyle w:val="8"/>
        <w:keepNext/>
        <w:rPr>
          <w:rFonts w:ascii="Times New Roman" w:hAnsi="Times New Roman" w:cs="Times New Roman"/>
          <w:color w:val="auto"/>
          <w:sz w:val="24"/>
          <w:szCs w:val="24"/>
        </w:rPr>
      </w:pPr>
      <w:r>
        <w:rPr>
          <w:rFonts w:ascii="Times New Roman" w:hAnsi="Times New Roman" w:cs="Times New Roman"/>
          <w:color w:val="auto"/>
          <w:sz w:val="24"/>
          <w:szCs w:val="24"/>
        </w:rPr>
        <w:t xml:space="preserve">Table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6</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Coefficients</w:t>
      </w:r>
    </w:p>
    <w:tbl>
      <w:tblPr>
        <w:tblStyle w:val="6"/>
        <w:tblW w:w="7651" w:type="dxa"/>
        <w:tblInd w:w="1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41"/>
        <w:gridCol w:w="1170"/>
        <w:gridCol w:w="990"/>
        <w:gridCol w:w="1260"/>
        <w:gridCol w:w="1710"/>
        <w:gridCol w:w="108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7651" w:type="dxa"/>
            <w:gridSpan w:val="7"/>
            <w:tcBorders>
              <w:top w:val="double" w:color="auto" w:sz="4" w:space="0"/>
              <w:left w:val="double" w:color="auto" w:sz="4" w:space="0"/>
              <w:bottom w:val="double" w:color="auto" w:sz="4" w:space="0"/>
              <w:right w:val="double" w:color="auto" w:sz="4" w:space="0"/>
            </w:tcBorders>
            <w:shd w:val="clear" w:color="auto" w:fill="FFFFFF"/>
            <w:vAlign w:val="center"/>
          </w:tcPr>
          <w:p>
            <w:pPr>
              <w:autoSpaceDE w:val="0"/>
              <w:autoSpaceDN w:val="0"/>
              <w:adjustRightInd w:val="0"/>
              <w:spacing w:after="0" w:line="360" w:lineRule="auto"/>
              <w:ind w:left="60" w:right="60"/>
              <w:jc w:val="both"/>
              <w:rPr>
                <w:rFonts w:ascii="Times New Roman" w:hAnsi="Times New Roman" w:cs="Times New Roman"/>
                <w:color w:val="010205"/>
                <w:sz w:val="24"/>
                <w:szCs w:val="24"/>
              </w:rPr>
            </w:pPr>
            <w:r>
              <w:rPr>
                <w:rFonts w:ascii="Times New Roman" w:hAnsi="Times New Roman" w:cs="Times New Roman"/>
                <w:b/>
                <w:bCs/>
                <w:color w:val="010205"/>
                <w:sz w:val="24"/>
                <w:szCs w:val="24"/>
              </w:rPr>
              <w:t>Coefficients</w:t>
            </w:r>
            <w:r>
              <w:rPr>
                <w:rFonts w:ascii="Times New Roman" w:hAnsi="Times New Roman" w:cs="Times New Roman"/>
                <w:b/>
                <w:bCs/>
                <w:color w:val="010205"/>
                <w:sz w:val="24"/>
                <w:szCs w:val="24"/>
                <w:vertAlign w:val="superscript"/>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1711" w:type="dxa"/>
            <w:gridSpan w:val="2"/>
            <w:vMerge w:val="restart"/>
            <w:tcBorders>
              <w:top w:val="double" w:color="auto" w:sz="4" w:space="0"/>
              <w:left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Model</w:t>
            </w:r>
          </w:p>
        </w:tc>
        <w:tc>
          <w:tcPr>
            <w:tcW w:w="2250" w:type="dxa"/>
            <w:gridSpan w:val="2"/>
            <w:tcBorders>
              <w:top w:val="double" w:color="auto" w:sz="4" w:space="0"/>
            </w:tcBorders>
            <w:shd w:val="clear" w:color="auto" w:fill="FFFFFF"/>
            <w:vAlign w:val="center"/>
          </w:tcPr>
          <w:p>
            <w:pPr>
              <w:autoSpaceDE w:val="0"/>
              <w:autoSpaceDN w:val="0"/>
              <w:adjustRightInd w:val="0"/>
              <w:spacing w:after="0" w:line="24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Unstandardized Coefficients</w:t>
            </w:r>
          </w:p>
        </w:tc>
        <w:tc>
          <w:tcPr>
            <w:tcW w:w="1710" w:type="dxa"/>
            <w:tcBorders>
              <w:top w:val="double" w:color="auto" w:sz="4" w:space="0"/>
            </w:tcBorders>
            <w:shd w:val="clear" w:color="auto" w:fill="FFFFFF"/>
            <w:vAlign w:val="center"/>
          </w:tcPr>
          <w:p>
            <w:pPr>
              <w:autoSpaceDE w:val="0"/>
              <w:autoSpaceDN w:val="0"/>
              <w:adjustRightInd w:val="0"/>
              <w:spacing w:after="0" w:line="24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Standardized Coefficients</w:t>
            </w:r>
          </w:p>
        </w:tc>
        <w:tc>
          <w:tcPr>
            <w:tcW w:w="1080" w:type="dxa"/>
            <w:vMerge w:val="restart"/>
            <w:tcBorders>
              <w:top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t</w:t>
            </w:r>
          </w:p>
        </w:tc>
        <w:tc>
          <w:tcPr>
            <w:tcW w:w="900" w:type="dxa"/>
            <w:vMerge w:val="restart"/>
            <w:tcBorders>
              <w:top w:val="double" w:color="auto" w:sz="4" w:space="0"/>
              <w:right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Sig.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1711" w:type="dxa"/>
            <w:gridSpan w:val="2"/>
            <w:vMerge w:val="continue"/>
            <w:tcBorders>
              <w:left w:val="double" w:color="auto" w:sz="4" w:space="0"/>
              <w:bottom w:val="double" w:color="auto" w:sz="4" w:space="0"/>
            </w:tcBorders>
            <w:shd w:val="clear" w:color="auto" w:fill="FFFFFF"/>
            <w:vAlign w:val="center"/>
          </w:tcPr>
          <w:p>
            <w:pPr>
              <w:autoSpaceDE w:val="0"/>
              <w:autoSpaceDN w:val="0"/>
              <w:adjustRightInd w:val="0"/>
              <w:spacing w:after="0" w:line="360" w:lineRule="auto"/>
              <w:jc w:val="center"/>
              <w:rPr>
                <w:rFonts w:ascii="Times New Roman" w:hAnsi="Times New Roman" w:cs="Times New Roman"/>
                <w:color w:val="264A60"/>
                <w:sz w:val="24"/>
                <w:szCs w:val="24"/>
              </w:rPr>
            </w:pPr>
          </w:p>
        </w:tc>
        <w:tc>
          <w:tcPr>
            <w:tcW w:w="990" w:type="dxa"/>
            <w:tcBorders>
              <w:bottom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B</w:t>
            </w:r>
          </w:p>
        </w:tc>
        <w:tc>
          <w:tcPr>
            <w:tcW w:w="1260" w:type="dxa"/>
            <w:tcBorders>
              <w:bottom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Std. Error</w:t>
            </w:r>
          </w:p>
        </w:tc>
        <w:tc>
          <w:tcPr>
            <w:tcW w:w="1710" w:type="dxa"/>
            <w:tcBorders>
              <w:bottom w:val="double" w:color="auto" w:sz="4" w:space="0"/>
            </w:tcBorders>
            <w:shd w:val="clear" w:color="auto" w:fill="FFFFFF"/>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Beta</w:t>
            </w:r>
          </w:p>
        </w:tc>
        <w:tc>
          <w:tcPr>
            <w:tcW w:w="1080" w:type="dxa"/>
            <w:vMerge w:val="continue"/>
            <w:tcBorders>
              <w:bottom w:val="double" w:color="auto" w:sz="4" w:space="0"/>
            </w:tcBorders>
            <w:shd w:val="clear" w:color="auto" w:fill="FFFFFF"/>
            <w:vAlign w:val="center"/>
          </w:tcPr>
          <w:p>
            <w:pPr>
              <w:autoSpaceDE w:val="0"/>
              <w:autoSpaceDN w:val="0"/>
              <w:adjustRightInd w:val="0"/>
              <w:spacing w:after="0" w:line="360" w:lineRule="auto"/>
              <w:jc w:val="center"/>
              <w:rPr>
                <w:rFonts w:ascii="Times New Roman" w:hAnsi="Times New Roman" w:cs="Times New Roman"/>
                <w:color w:val="264A60"/>
                <w:sz w:val="24"/>
                <w:szCs w:val="24"/>
              </w:rPr>
            </w:pPr>
          </w:p>
        </w:tc>
        <w:tc>
          <w:tcPr>
            <w:tcW w:w="900" w:type="dxa"/>
            <w:vMerge w:val="continue"/>
            <w:tcBorders>
              <w:bottom w:val="double" w:color="auto" w:sz="4" w:space="0"/>
              <w:right w:val="double" w:color="auto" w:sz="4" w:space="0"/>
            </w:tcBorders>
            <w:shd w:val="clear" w:color="auto" w:fill="FFFFFF"/>
            <w:vAlign w:val="center"/>
          </w:tcPr>
          <w:p>
            <w:pPr>
              <w:autoSpaceDE w:val="0"/>
              <w:autoSpaceDN w:val="0"/>
              <w:adjustRightInd w:val="0"/>
              <w:spacing w:after="0" w:line="360" w:lineRule="auto"/>
              <w:jc w:val="center"/>
              <w:rPr>
                <w:rFonts w:ascii="Times New Roman" w:hAnsi="Times New Roman" w:cs="Times New Roman"/>
                <w:color w:val="264A6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541" w:type="dxa"/>
            <w:vMerge w:val="restart"/>
            <w:tcBorders>
              <w:top w:val="double" w:color="auto" w:sz="4" w:space="0"/>
              <w:left w:val="double" w:color="auto" w:sz="4" w:space="0"/>
            </w:tcBorders>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1</w:t>
            </w:r>
          </w:p>
        </w:tc>
        <w:tc>
          <w:tcPr>
            <w:tcW w:w="1170" w:type="dxa"/>
            <w:tcBorders>
              <w:top w:val="double" w:color="auto" w:sz="4" w:space="0"/>
            </w:tcBorders>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(Constant)</w:t>
            </w:r>
          </w:p>
        </w:tc>
        <w:tc>
          <w:tcPr>
            <w:tcW w:w="990"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3.997</w:t>
            </w:r>
          </w:p>
        </w:tc>
        <w:tc>
          <w:tcPr>
            <w:tcW w:w="1260"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.301</w:t>
            </w:r>
          </w:p>
        </w:tc>
        <w:tc>
          <w:tcPr>
            <w:tcW w:w="1710" w:type="dxa"/>
            <w:tcBorders>
              <w:top w:val="double" w:color="auto" w:sz="4" w:space="0"/>
            </w:tcBorders>
            <w:shd w:val="clear" w:color="auto" w:fill="F9F9FB"/>
            <w:vAlign w:val="center"/>
          </w:tcPr>
          <w:p>
            <w:pPr>
              <w:autoSpaceDE w:val="0"/>
              <w:autoSpaceDN w:val="0"/>
              <w:adjustRightInd w:val="0"/>
              <w:spacing w:after="0" w:line="360" w:lineRule="auto"/>
              <w:jc w:val="center"/>
              <w:rPr>
                <w:rFonts w:ascii="Times New Roman" w:hAnsi="Times New Roman" w:cs="Times New Roman"/>
                <w:sz w:val="24"/>
                <w:szCs w:val="24"/>
              </w:rPr>
            </w:pPr>
          </w:p>
        </w:tc>
        <w:tc>
          <w:tcPr>
            <w:tcW w:w="1080" w:type="dxa"/>
            <w:tcBorders>
              <w:top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13.276</w:t>
            </w:r>
          </w:p>
        </w:tc>
        <w:tc>
          <w:tcPr>
            <w:tcW w:w="900" w:type="dxa"/>
            <w:tcBorders>
              <w:top w:val="double" w:color="auto" w:sz="4" w:space="0"/>
              <w:right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&lt;.001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541" w:type="dxa"/>
            <w:vMerge w:val="continue"/>
            <w:tcBorders>
              <w:left w:val="double" w:color="auto" w:sz="4" w:space="0"/>
            </w:tcBorders>
            <w:shd w:val="clear" w:color="auto" w:fill="E0E0E0"/>
            <w:vAlign w:val="center"/>
          </w:tcPr>
          <w:p>
            <w:pPr>
              <w:autoSpaceDE w:val="0"/>
              <w:autoSpaceDN w:val="0"/>
              <w:adjustRightInd w:val="0"/>
              <w:spacing w:after="0" w:line="360" w:lineRule="auto"/>
              <w:jc w:val="center"/>
              <w:rPr>
                <w:rFonts w:ascii="Times New Roman" w:hAnsi="Times New Roman" w:cs="Times New Roman"/>
                <w:color w:val="010205"/>
                <w:sz w:val="24"/>
                <w:szCs w:val="24"/>
              </w:rPr>
            </w:pPr>
          </w:p>
        </w:tc>
        <w:tc>
          <w:tcPr>
            <w:tcW w:w="1170" w:type="dxa"/>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Location</w:t>
            </w:r>
          </w:p>
        </w:tc>
        <w:tc>
          <w:tcPr>
            <w:tcW w:w="99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.046</w:t>
            </w:r>
          </w:p>
        </w:tc>
        <w:tc>
          <w:tcPr>
            <w:tcW w:w="126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.067</w:t>
            </w:r>
          </w:p>
        </w:tc>
        <w:tc>
          <w:tcPr>
            <w:tcW w:w="171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.044</w:t>
            </w:r>
          </w:p>
        </w:tc>
        <w:tc>
          <w:tcPr>
            <w:tcW w:w="108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.690</w:t>
            </w:r>
          </w:p>
        </w:tc>
        <w:tc>
          <w:tcPr>
            <w:tcW w:w="900" w:type="dxa"/>
            <w:tcBorders>
              <w:right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.490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541" w:type="dxa"/>
            <w:vMerge w:val="continue"/>
            <w:tcBorders>
              <w:left w:val="double" w:color="auto" w:sz="4" w:space="0"/>
            </w:tcBorders>
            <w:shd w:val="clear" w:color="auto" w:fill="E0E0E0"/>
            <w:vAlign w:val="center"/>
          </w:tcPr>
          <w:p>
            <w:pPr>
              <w:autoSpaceDE w:val="0"/>
              <w:autoSpaceDN w:val="0"/>
              <w:adjustRightInd w:val="0"/>
              <w:spacing w:after="0" w:line="360" w:lineRule="auto"/>
              <w:jc w:val="center"/>
              <w:rPr>
                <w:rFonts w:ascii="Times New Roman" w:hAnsi="Times New Roman" w:cs="Times New Roman"/>
                <w:color w:val="010205"/>
                <w:sz w:val="24"/>
                <w:szCs w:val="24"/>
              </w:rPr>
            </w:pPr>
          </w:p>
        </w:tc>
        <w:tc>
          <w:tcPr>
            <w:tcW w:w="1170" w:type="dxa"/>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Price</w:t>
            </w:r>
          </w:p>
        </w:tc>
        <w:tc>
          <w:tcPr>
            <w:tcW w:w="99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-.094</w:t>
            </w:r>
          </w:p>
        </w:tc>
        <w:tc>
          <w:tcPr>
            <w:tcW w:w="126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.061</w:t>
            </w:r>
          </w:p>
        </w:tc>
        <w:tc>
          <w:tcPr>
            <w:tcW w:w="171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-.086</w:t>
            </w:r>
          </w:p>
        </w:tc>
        <w:tc>
          <w:tcPr>
            <w:tcW w:w="108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-1.552</w:t>
            </w:r>
          </w:p>
        </w:tc>
        <w:tc>
          <w:tcPr>
            <w:tcW w:w="900" w:type="dxa"/>
            <w:tcBorders>
              <w:right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.122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541" w:type="dxa"/>
            <w:vMerge w:val="continue"/>
            <w:tcBorders>
              <w:left w:val="double" w:color="auto" w:sz="4" w:space="0"/>
            </w:tcBorders>
            <w:shd w:val="clear" w:color="auto" w:fill="E0E0E0"/>
            <w:vAlign w:val="center"/>
          </w:tcPr>
          <w:p>
            <w:pPr>
              <w:autoSpaceDE w:val="0"/>
              <w:autoSpaceDN w:val="0"/>
              <w:adjustRightInd w:val="0"/>
              <w:spacing w:after="0" w:line="360" w:lineRule="auto"/>
              <w:jc w:val="center"/>
              <w:rPr>
                <w:rFonts w:ascii="Times New Roman" w:hAnsi="Times New Roman" w:cs="Times New Roman"/>
                <w:color w:val="010205"/>
                <w:sz w:val="24"/>
                <w:szCs w:val="24"/>
              </w:rPr>
            </w:pPr>
          </w:p>
        </w:tc>
        <w:tc>
          <w:tcPr>
            <w:tcW w:w="1170" w:type="dxa"/>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Legal</w:t>
            </w:r>
          </w:p>
        </w:tc>
        <w:tc>
          <w:tcPr>
            <w:tcW w:w="99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.060</w:t>
            </w:r>
          </w:p>
        </w:tc>
        <w:tc>
          <w:tcPr>
            <w:tcW w:w="126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.066</w:t>
            </w:r>
          </w:p>
        </w:tc>
        <w:tc>
          <w:tcPr>
            <w:tcW w:w="171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.064</w:t>
            </w:r>
          </w:p>
        </w:tc>
        <w:tc>
          <w:tcPr>
            <w:tcW w:w="108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.917</w:t>
            </w:r>
          </w:p>
        </w:tc>
        <w:tc>
          <w:tcPr>
            <w:tcW w:w="900" w:type="dxa"/>
            <w:tcBorders>
              <w:right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.360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541" w:type="dxa"/>
            <w:vMerge w:val="continue"/>
            <w:tcBorders>
              <w:left w:val="double" w:color="auto" w:sz="4" w:space="0"/>
            </w:tcBorders>
            <w:shd w:val="clear" w:color="auto" w:fill="E0E0E0"/>
            <w:vAlign w:val="center"/>
          </w:tcPr>
          <w:p>
            <w:pPr>
              <w:autoSpaceDE w:val="0"/>
              <w:autoSpaceDN w:val="0"/>
              <w:adjustRightInd w:val="0"/>
              <w:spacing w:after="0" w:line="360" w:lineRule="auto"/>
              <w:jc w:val="center"/>
              <w:rPr>
                <w:rFonts w:ascii="Times New Roman" w:hAnsi="Times New Roman" w:cs="Times New Roman"/>
                <w:color w:val="010205"/>
                <w:sz w:val="24"/>
                <w:szCs w:val="24"/>
              </w:rPr>
            </w:pPr>
          </w:p>
        </w:tc>
        <w:tc>
          <w:tcPr>
            <w:tcW w:w="1170" w:type="dxa"/>
            <w:shd w:val="clear" w:color="auto" w:fill="E0E0E0"/>
            <w:vAlign w:val="center"/>
          </w:tcPr>
          <w:p>
            <w:pPr>
              <w:autoSpaceDE w:val="0"/>
              <w:autoSpaceDN w:val="0"/>
              <w:adjustRightInd w:val="0"/>
              <w:spacing w:after="0" w:line="360" w:lineRule="auto"/>
              <w:ind w:left="60" w:right="60"/>
              <w:jc w:val="center"/>
              <w:rPr>
                <w:rFonts w:ascii="Times New Roman" w:hAnsi="Times New Roman" w:cs="Times New Roman"/>
                <w:color w:val="264A60"/>
                <w:sz w:val="24"/>
                <w:szCs w:val="24"/>
              </w:rPr>
            </w:pPr>
            <w:r>
              <w:rPr>
                <w:rFonts w:ascii="Times New Roman" w:hAnsi="Times New Roman" w:cs="Times New Roman"/>
                <w:color w:val="264A60"/>
                <w:sz w:val="24"/>
                <w:szCs w:val="24"/>
              </w:rPr>
              <w:t>Service</w:t>
            </w:r>
          </w:p>
        </w:tc>
        <w:tc>
          <w:tcPr>
            <w:tcW w:w="99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.031</w:t>
            </w:r>
          </w:p>
        </w:tc>
        <w:tc>
          <w:tcPr>
            <w:tcW w:w="126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.051</w:t>
            </w:r>
          </w:p>
        </w:tc>
        <w:tc>
          <w:tcPr>
            <w:tcW w:w="171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.041</w:t>
            </w:r>
          </w:p>
        </w:tc>
        <w:tc>
          <w:tcPr>
            <w:tcW w:w="1080" w:type="dxa"/>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.608</w:t>
            </w:r>
          </w:p>
        </w:tc>
        <w:tc>
          <w:tcPr>
            <w:tcW w:w="900" w:type="dxa"/>
            <w:tcBorders>
              <w:right w:val="double" w:color="auto" w:sz="4" w:space="0"/>
            </w:tcBorders>
            <w:shd w:val="clear" w:color="auto" w:fill="F9F9FB"/>
            <w:vAlign w:val="center"/>
          </w:tcPr>
          <w:p>
            <w:pPr>
              <w:autoSpaceDE w:val="0"/>
              <w:autoSpaceDN w:val="0"/>
              <w:adjustRightInd w:val="0"/>
              <w:spacing w:after="0" w:line="360" w:lineRule="auto"/>
              <w:ind w:left="60" w:right="60"/>
              <w:jc w:val="center"/>
              <w:rPr>
                <w:rFonts w:ascii="Times New Roman" w:hAnsi="Times New Roman" w:cs="Times New Roman"/>
                <w:color w:val="010205"/>
                <w:sz w:val="24"/>
                <w:szCs w:val="24"/>
              </w:rPr>
            </w:pPr>
            <w:r>
              <w:rPr>
                <w:rFonts w:ascii="Times New Roman" w:hAnsi="Times New Roman" w:cs="Times New Roman"/>
                <w:color w:val="010205"/>
                <w:sz w:val="24"/>
                <w:szCs w:val="24"/>
              </w:rPr>
              <w:t>.543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Pr>
        <w:tc>
          <w:tcPr>
            <w:tcW w:w="7651" w:type="dxa"/>
            <w:gridSpan w:val="7"/>
            <w:tcBorders>
              <w:left w:val="double" w:color="auto" w:sz="4" w:space="0"/>
              <w:bottom w:val="double" w:color="auto" w:sz="4" w:space="0"/>
              <w:right w:val="double" w:color="auto" w:sz="4" w:space="0"/>
            </w:tcBorders>
            <w:shd w:val="clear" w:color="auto" w:fill="FFFFFF"/>
          </w:tcPr>
          <w:p>
            <w:pPr>
              <w:keepNext/>
              <w:autoSpaceDE w:val="0"/>
              <w:autoSpaceDN w:val="0"/>
              <w:adjustRightInd w:val="0"/>
              <w:spacing w:after="0"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a. Dependent Variable: Intention</w:t>
            </w:r>
          </w:p>
        </w:tc>
      </w:tr>
    </w:tbl>
    <w:p>
      <w:pPr>
        <w:tabs>
          <w:tab w:val="left" w:pos="6120"/>
        </w:tabs>
        <w:spacing w:after="0"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B values for each independent variable 0.046, -0.094, 0.060 and 0.031 respectively. Broadly it can be explained that if the each one unit increases in the Location, there is a 0.046 increased performance on Consumer purchasing intention. If the each unit increases in the Price there is a -0.094 performance on Consumer purchasing intention. This means there is a negative performance between independent variable and the dependent variable. If the each unit increases in the Legal Attributes there is a -0.060 performance on Consumer purchasing intention. If the each unit increases in the Services there is a 0.031 performance on Consumer purchasing intention.</w:t>
      </w:r>
    </w:p>
    <w:p>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There is a meaningful R-square that is statistically significant, but when the predictors (independent variables) are tested individually, none of them are significant. Their P values are all greater than 0.5, which means the predictors are correlated with each other to such a degree. It doesn't have to be 1.0, but such a degree does not offer any significant amount of unique variance in explaining the dependent variable.</w:t>
      </w:r>
    </w:p>
    <w:p>
      <w:pPr>
        <w:pStyle w:val="8"/>
        <w:keepNext/>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Table </w:t>
      </w:r>
      <w:r>
        <w:rPr>
          <w:rFonts w:ascii="Times New Roman" w:hAnsi="Times New Roman" w:cs="Times New Roman"/>
          <w:color w:val="auto"/>
          <w:sz w:val="24"/>
          <w:szCs w:val="24"/>
        </w:rPr>
        <w:fldChar w:fldCharType="begin"/>
      </w:r>
      <w:r>
        <w:rPr>
          <w:rFonts w:ascii="Times New Roman" w:hAnsi="Times New Roman" w:cs="Times New Roman"/>
          <w:color w:val="auto"/>
          <w:sz w:val="24"/>
          <w:szCs w:val="24"/>
        </w:rPr>
        <w:instrText xml:space="preserve"> SEQ Table \* ARABIC </w:instrText>
      </w:r>
      <w:r>
        <w:rPr>
          <w:rFonts w:ascii="Times New Roman" w:hAnsi="Times New Roman" w:cs="Times New Roman"/>
          <w:color w:val="auto"/>
          <w:sz w:val="24"/>
          <w:szCs w:val="24"/>
        </w:rPr>
        <w:fldChar w:fldCharType="separate"/>
      </w:r>
      <w:r>
        <w:rPr>
          <w:rFonts w:ascii="Times New Roman" w:hAnsi="Times New Roman" w:cs="Times New Roman"/>
          <w:color w:val="auto"/>
          <w:sz w:val="24"/>
          <w:szCs w:val="24"/>
        </w:rPr>
        <w:t>7</w:t>
      </w:r>
      <w:r>
        <w:rPr>
          <w:rFonts w:ascii="Times New Roman" w:hAnsi="Times New Roman" w:cs="Times New Roman"/>
          <w:color w:val="auto"/>
          <w:sz w:val="24"/>
          <w:szCs w:val="24"/>
        </w:rPr>
        <w:fldChar w:fldCharType="end"/>
      </w:r>
      <w:r>
        <w:rPr>
          <w:rFonts w:ascii="Times New Roman" w:hAnsi="Times New Roman" w:cs="Times New Roman"/>
          <w:color w:val="auto"/>
          <w:sz w:val="24"/>
          <w:szCs w:val="24"/>
        </w:rPr>
        <w:t xml:space="preserve"> - Model Summary</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8"/>
        <w:gridCol w:w="810"/>
        <w:gridCol w:w="1170"/>
        <w:gridCol w:w="1170"/>
        <w:gridCol w:w="1429"/>
        <w:gridCol w:w="1181"/>
        <w:gridCol w:w="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5" w:type="dxa"/>
            <w:gridSpan w:val="7"/>
            <w:tcBorders>
              <w:top w:val="double" w:color="auto" w:sz="4" w:space="0"/>
              <w:left w:val="double" w:color="auto" w:sz="4" w:space="0"/>
              <w:right w:val="double" w:color="auto" w:sz="4" w:space="0"/>
            </w:tcBorders>
          </w:tcPr>
          <w:p>
            <w:pPr>
              <w:spacing w:after="0" w:line="360" w:lineRule="auto"/>
              <w:jc w:val="both"/>
              <w:rPr>
                <w:rFonts w:ascii="Times New Roman" w:hAnsi="Times New Roman" w:cs="Times New Roman"/>
                <w:b/>
                <w:bCs/>
                <w:sz w:val="24"/>
                <w:szCs w:val="24"/>
                <w:lang w:val="en-GB" w:bidi="ar-SA"/>
              </w:rPr>
            </w:pPr>
            <w:r>
              <w:rPr>
                <w:rFonts w:ascii="Times New Roman" w:hAnsi="Times New Roman" w:cs="Times New Roman"/>
                <w:b/>
                <w:bCs/>
                <w:sz w:val="24"/>
                <w:szCs w:val="24"/>
                <w:lang w:val="en-GB" w:bidi="ar-SA"/>
              </w:rPr>
              <w:t>Model Summery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918" w:type="dxa"/>
            <w:vMerge w:val="restart"/>
            <w:tcBorders>
              <w:top w:val="double" w:color="auto" w:sz="4" w:space="0"/>
              <w:left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Model</w:t>
            </w:r>
          </w:p>
        </w:tc>
        <w:tc>
          <w:tcPr>
            <w:tcW w:w="810" w:type="dxa"/>
            <w:vMerge w:val="restart"/>
            <w:tcBorders>
              <w:top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R</w:t>
            </w:r>
          </w:p>
        </w:tc>
        <w:tc>
          <w:tcPr>
            <w:tcW w:w="1170" w:type="dxa"/>
            <w:vMerge w:val="restart"/>
            <w:tcBorders>
              <w:top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R Square</w:t>
            </w:r>
          </w:p>
        </w:tc>
        <w:tc>
          <w:tcPr>
            <w:tcW w:w="1170" w:type="dxa"/>
            <w:vMerge w:val="restart"/>
            <w:tcBorders>
              <w:top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Adjusted R Square</w:t>
            </w:r>
          </w:p>
        </w:tc>
        <w:tc>
          <w:tcPr>
            <w:tcW w:w="1429" w:type="dxa"/>
            <w:vMerge w:val="restart"/>
            <w:tcBorders>
              <w:top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Std. Error of the Estimate</w:t>
            </w:r>
          </w:p>
        </w:tc>
        <w:tc>
          <w:tcPr>
            <w:tcW w:w="2158" w:type="dxa"/>
            <w:gridSpan w:val="2"/>
            <w:tcBorders>
              <w:top w:val="double" w:color="auto" w:sz="4" w:space="0"/>
              <w:right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Change Statistics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918" w:type="dxa"/>
            <w:vMerge w:val="continue"/>
            <w:tcBorders>
              <w:left w:val="double" w:color="auto" w:sz="4" w:space="0"/>
              <w:bottom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p>
        </w:tc>
        <w:tc>
          <w:tcPr>
            <w:tcW w:w="810" w:type="dxa"/>
            <w:vMerge w:val="continue"/>
            <w:tcBorders>
              <w:bottom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p>
        </w:tc>
        <w:tc>
          <w:tcPr>
            <w:tcW w:w="1170" w:type="dxa"/>
            <w:vMerge w:val="continue"/>
            <w:tcBorders>
              <w:bottom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p>
        </w:tc>
        <w:tc>
          <w:tcPr>
            <w:tcW w:w="1170" w:type="dxa"/>
            <w:vMerge w:val="continue"/>
            <w:tcBorders>
              <w:bottom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p>
        </w:tc>
        <w:tc>
          <w:tcPr>
            <w:tcW w:w="1429" w:type="dxa"/>
            <w:vMerge w:val="continue"/>
            <w:tcBorders>
              <w:bottom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p>
        </w:tc>
        <w:tc>
          <w:tcPr>
            <w:tcW w:w="1181" w:type="dxa"/>
            <w:tcBorders>
              <w:bottom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R Square Change</w:t>
            </w:r>
          </w:p>
        </w:tc>
        <w:tc>
          <w:tcPr>
            <w:tcW w:w="977" w:type="dxa"/>
            <w:tcBorders>
              <w:bottom w:val="double" w:color="auto" w:sz="4" w:space="0"/>
              <w:right w:val="double" w:color="auto" w:sz="4" w:space="0"/>
            </w:tcBorders>
            <w:vAlign w:val="center"/>
          </w:tcPr>
          <w:p>
            <w:pPr>
              <w:spacing w:after="0" w:line="24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Df2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top w:val="double" w:color="auto" w:sz="4" w:space="0"/>
              <w:left w:val="double" w:color="auto" w:sz="4" w:space="0"/>
            </w:tcBorders>
            <w:vAlign w:val="center"/>
          </w:tcPr>
          <w:p>
            <w:pPr>
              <w:spacing w:after="0" w:line="36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1</w:t>
            </w:r>
          </w:p>
        </w:tc>
        <w:tc>
          <w:tcPr>
            <w:tcW w:w="810" w:type="dxa"/>
            <w:tcBorders>
              <w:top w:val="double" w:color="auto" w:sz="4" w:space="0"/>
            </w:tcBorders>
            <w:vAlign w:val="center"/>
          </w:tcPr>
          <w:p>
            <w:pPr>
              <w:spacing w:after="0" w:line="360" w:lineRule="auto"/>
              <w:jc w:val="center"/>
              <w:rPr>
                <w:rFonts w:ascii="Times New Roman" w:hAnsi="Times New Roman" w:cs="Times New Roman"/>
                <w:sz w:val="24"/>
                <w:szCs w:val="24"/>
                <w:vertAlign w:val="superscript"/>
                <w:lang w:val="en-GB" w:bidi="ar-SA"/>
              </w:rPr>
            </w:pPr>
            <w:r>
              <w:rPr>
                <w:rFonts w:ascii="Times New Roman" w:hAnsi="Times New Roman" w:cs="Times New Roman"/>
                <w:sz w:val="24"/>
                <w:szCs w:val="24"/>
                <w:lang w:val="en-GB" w:bidi="ar-SA"/>
              </w:rPr>
              <w:t>.126</w:t>
            </w:r>
            <w:r>
              <w:rPr>
                <w:rFonts w:ascii="Times New Roman" w:hAnsi="Times New Roman" w:cs="Times New Roman"/>
                <w:sz w:val="24"/>
                <w:szCs w:val="24"/>
                <w:vertAlign w:val="superscript"/>
                <w:lang w:val="en-GB" w:bidi="ar-SA"/>
              </w:rPr>
              <w:t>a</w:t>
            </w:r>
          </w:p>
        </w:tc>
        <w:tc>
          <w:tcPr>
            <w:tcW w:w="1170" w:type="dxa"/>
            <w:tcBorders>
              <w:top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.931</w:t>
            </w:r>
          </w:p>
        </w:tc>
        <w:tc>
          <w:tcPr>
            <w:tcW w:w="1170" w:type="dxa"/>
            <w:tcBorders>
              <w:top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.931</w:t>
            </w:r>
          </w:p>
        </w:tc>
        <w:tc>
          <w:tcPr>
            <w:tcW w:w="1429" w:type="dxa"/>
            <w:tcBorders>
              <w:top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.64332</w:t>
            </w:r>
          </w:p>
        </w:tc>
        <w:tc>
          <w:tcPr>
            <w:tcW w:w="1181" w:type="dxa"/>
            <w:tcBorders>
              <w:top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.931</w:t>
            </w:r>
          </w:p>
        </w:tc>
        <w:tc>
          <w:tcPr>
            <w:tcW w:w="977" w:type="dxa"/>
            <w:tcBorders>
              <w:top w:val="double" w:color="auto" w:sz="4" w:space="0"/>
              <w:right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384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 w:type="dxa"/>
            <w:tcBorders>
              <w:left w:val="double" w:color="auto" w:sz="4" w:space="0"/>
              <w:bottom w:val="double" w:color="auto" w:sz="4" w:space="0"/>
            </w:tcBorders>
            <w:vAlign w:val="center"/>
          </w:tcPr>
          <w:p>
            <w:pPr>
              <w:spacing w:after="0" w:line="360" w:lineRule="auto"/>
              <w:jc w:val="center"/>
              <w:rPr>
                <w:rFonts w:ascii="Times New Roman" w:hAnsi="Times New Roman" w:cs="Times New Roman"/>
                <w:color w:val="264A60"/>
                <w:sz w:val="24"/>
                <w:szCs w:val="24"/>
                <w:lang w:val="en-US" w:bidi="si-LK"/>
              </w:rPr>
            </w:pPr>
            <w:r>
              <w:rPr>
                <w:rFonts w:ascii="Times New Roman" w:hAnsi="Times New Roman" w:cs="Times New Roman"/>
                <w:color w:val="264A60"/>
                <w:sz w:val="24"/>
                <w:szCs w:val="24"/>
                <w:lang w:val="en-US" w:bidi="si-LK"/>
              </w:rPr>
              <w:t>2</w:t>
            </w:r>
          </w:p>
        </w:tc>
        <w:tc>
          <w:tcPr>
            <w:tcW w:w="810" w:type="dxa"/>
            <w:tcBorders>
              <w:bottom w:val="double" w:color="auto" w:sz="4" w:space="0"/>
            </w:tcBorders>
            <w:vAlign w:val="center"/>
          </w:tcPr>
          <w:p>
            <w:pPr>
              <w:spacing w:after="0" w:line="360" w:lineRule="auto"/>
              <w:jc w:val="center"/>
              <w:rPr>
                <w:rFonts w:ascii="Times New Roman" w:hAnsi="Times New Roman" w:cs="Times New Roman"/>
                <w:sz w:val="24"/>
                <w:szCs w:val="24"/>
                <w:vertAlign w:val="superscript"/>
                <w:lang w:val="en-GB" w:bidi="ar-SA"/>
              </w:rPr>
            </w:pPr>
            <w:r>
              <w:rPr>
                <w:rFonts w:ascii="Times New Roman" w:hAnsi="Times New Roman" w:cs="Times New Roman"/>
                <w:sz w:val="24"/>
                <w:szCs w:val="24"/>
                <w:lang w:val="en-GB" w:bidi="ar-SA"/>
              </w:rPr>
              <w:t>.202</w:t>
            </w:r>
            <w:r>
              <w:rPr>
                <w:rFonts w:ascii="Times New Roman" w:hAnsi="Times New Roman" w:cs="Times New Roman"/>
                <w:sz w:val="24"/>
                <w:szCs w:val="24"/>
                <w:vertAlign w:val="superscript"/>
                <w:lang w:val="en-GB" w:bidi="ar-SA"/>
              </w:rPr>
              <w:t>b</w:t>
            </w:r>
          </w:p>
        </w:tc>
        <w:tc>
          <w:tcPr>
            <w:tcW w:w="1170" w:type="dxa"/>
            <w:tcBorders>
              <w:bottom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.941</w:t>
            </w:r>
          </w:p>
        </w:tc>
        <w:tc>
          <w:tcPr>
            <w:tcW w:w="1170" w:type="dxa"/>
            <w:tcBorders>
              <w:bottom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.941</w:t>
            </w:r>
          </w:p>
        </w:tc>
        <w:tc>
          <w:tcPr>
            <w:tcW w:w="1429" w:type="dxa"/>
            <w:tcBorders>
              <w:bottom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.63598</w:t>
            </w:r>
          </w:p>
        </w:tc>
        <w:tc>
          <w:tcPr>
            <w:tcW w:w="1181" w:type="dxa"/>
            <w:tcBorders>
              <w:bottom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.010</w:t>
            </w:r>
          </w:p>
        </w:tc>
        <w:tc>
          <w:tcPr>
            <w:tcW w:w="977" w:type="dxa"/>
            <w:tcBorders>
              <w:bottom w:val="double" w:color="auto" w:sz="4" w:space="0"/>
              <w:right w:val="double" w:color="auto" w:sz="4" w:space="0"/>
            </w:tcBorders>
            <w:vAlign w:val="center"/>
          </w:tcPr>
          <w:p>
            <w:pPr>
              <w:spacing w:after="0" w:line="360" w:lineRule="auto"/>
              <w:jc w:val="center"/>
              <w:rPr>
                <w:rFonts w:ascii="Times New Roman" w:hAnsi="Times New Roman" w:cs="Times New Roman"/>
                <w:sz w:val="24"/>
                <w:szCs w:val="24"/>
                <w:lang w:val="en-GB" w:bidi="ar-SA"/>
              </w:rPr>
            </w:pPr>
            <w:r>
              <w:rPr>
                <w:rFonts w:ascii="Times New Roman" w:hAnsi="Times New Roman" w:cs="Times New Roman"/>
                <w:sz w:val="24"/>
                <w:szCs w:val="24"/>
                <w:lang w:val="en-GB" w:bidi="ar-SA"/>
              </w:rPr>
              <w:t>383</w:t>
            </w:r>
          </w:p>
        </w:tc>
      </w:tr>
    </w:tbl>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According to this model summary R square change is 0.010 and significant F change is 0.001 and therefore the value is significant. Ultimately it can be confirmed that there is a significant moderating impact.</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increase in variation explained by the inclusion of the interaction factor is displayed as "R Square Change". The percentage increase in the amount of variance explained by the inclusion of the interaction term, expressed as a change in R</w:t>
      </w:r>
      <w:r>
        <w:rPr>
          <w:rFonts w:ascii="Times New Roman" w:hAnsi="Times New Roman" w:cs="Times New Roman"/>
          <w:sz w:val="24"/>
          <w:szCs w:val="24"/>
          <w:vertAlign w:val="superscript"/>
        </w:rPr>
        <w:t xml:space="preserve">2 </w:t>
      </w:r>
      <w:r>
        <w:rPr>
          <w:rFonts w:ascii="Times New Roman" w:hAnsi="Times New Roman" w:cs="Times New Roman"/>
          <w:sz w:val="24"/>
          <w:szCs w:val="24"/>
        </w:rPr>
        <w:t>change, is given as .010, or 10%.</w:t>
      </w: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p>
    <w:p>
      <w:pPr>
        <w:spacing w:line="360" w:lineRule="auto"/>
        <w:jc w:val="both"/>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t xml:space="preserve">Discussion and Recommendation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findings, an increase in location, legal characteristics, and services will all enhance purchasing intention, but an increase in price has a negative effect on customer purchasing behavior. Ultimately, the study also interpreted the significant moderating impact of affordability as a moderating factor.</w:t>
      </w:r>
    </w:p>
    <w:p>
      <w:pPr>
        <w:pStyle w:val="14"/>
        <w:spacing w:line="360" w:lineRule="auto"/>
        <w:jc w:val="both"/>
        <w:rPr>
          <w:rFonts w:eastAsiaTheme="minorHAnsi"/>
        </w:rPr>
      </w:pPr>
      <w:r>
        <w:rPr>
          <w:rFonts w:eastAsiaTheme="minorHAnsi"/>
        </w:rPr>
        <w:t>The results of the study provide a significant idea about the attributes that have an effect on consumer purchasing intention, together with affordability as a moderating factor. Therefore, among the enormous numbers of attributes, the study has considered several attributes and their effect on the buying decision. Therefore, from the developer’s point of view, this sort of study drives the decision-making process. As well as the value-adding of the products, this leads to greater customer satisfaction.</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pPr>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Times New Roman" w:cs="Times New Roman"/>
          <w:b/>
          <w:bCs/>
          <w:color w:val="0D0D0D" w:themeColor="text1" w:themeTint="F2"/>
          <w:sz w:val="24"/>
          <w:szCs w:val="24"/>
          <w14:textFill>
            <w14:solidFill>
              <w14:schemeClr w14:val="tx1">
                <w14:lumMod w14:val="95000"/>
                <w14:lumOff w14:val="5000"/>
              </w14:schemeClr>
            </w14:solidFill>
          </w14:textFill>
        </w:rPr>
        <w:t xml:space="preserve">Limitations and Future Research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focus was limited to the area of Colombo and suburbs and it is recommended expanding the study into wider areas. In addition to that the sample portioned into Residential real estate, although there are different type of uses exist including Commercial, Industrial, and Leisure etc.</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Further research will focus on commercial real estate and include other characteristics besides those listed above that affect consumer intent with regard to residential real estate.</w:t>
      </w: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sectPr>
          <w:footerReference r:id="rId5" w:type="default"/>
          <w:footerReference r:id="rId6" w:type="even"/>
          <w:type w:val="continuous"/>
          <w:pgSz w:w="10319" w:h="14571"/>
          <w:pgMar w:top="1152" w:right="1152" w:bottom="1152" w:left="1152" w:header="720" w:footer="720" w:gutter="0"/>
          <w:cols w:space="720" w:num="1"/>
          <w:docGrid w:linePitch="360" w:charSpace="0"/>
        </w:sectPr>
      </w:pPr>
    </w:p>
    <w:sdt>
      <w:sdtPr>
        <w:rPr>
          <w:rFonts w:cs="Times New Roman" w:asciiTheme="minorHAnsi" w:hAnsiTheme="minorHAnsi" w:eastAsiaTheme="minorHAnsi"/>
          <w:b w:val="0"/>
          <w:bCs w:val="0"/>
          <w:color w:val="auto"/>
          <w:sz w:val="24"/>
          <w:szCs w:val="24"/>
        </w:rPr>
        <w:id w:val="358938231"/>
        <w:docPartObj>
          <w:docPartGallery w:val="AutoText"/>
        </w:docPartObj>
      </w:sdtPr>
      <w:sdtEndPr>
        <w:rPr>
          <w:rFonts w:ascii="Times New Roman" w:hAnsi="Times New Roman" w:cs="Times New Roman" w:eastAsiaTheme="minorHAnsi"/>
          <w:b w:val="0"/>
          <w:bCs w:val="0"/>
          <w:color w:val="auto"/>
          <w:sz w:val="22"/>
          <w:szCs w:val="22"/>
        </w:rPr>
      </w:sdtEndPr>
      <w:sdtContent>
        <w:p>
          <w:pPr>
            <w:pStyle w:val="2"/>
            <w:spacing w:before="0" w:line="240" w:lineRule="auto"/>
            <w:jc w:val="both"/>
            <w:rPr>
              <w:rStyle w:val="24"/>
              <w:b/>
              <w:bCs/>
              <w:sz w:val="24"/>
              <w:szCs w:val="24"/>
            </w:rPr>
          </w:pPr>
          <w:r>
            <w:rPr>
              <w:rStyle w:val="24"/>
              <w:b/>
              <w:bCs/>
              <w:sz w:val="24"/>
              <w:szCs w:val="24"/>
            </w:rPr>
            <w:t>Bibliography</w:t>
          </w:r>
        </w:p>
        <w:p>
          <w:pPr>
            <w:spacing w:after="0"/>
          </w:pPr>
        </w:p>
        <w:sdt>
          <w:sdtPr>
            <w:rPr>
              <w:rFonts w:ascii="Times New Roman" w:hAnsi="Times New Roman" w:cs="Times New Roman"/>
            </w:rPr>
            <w:id w:val="111145805"/>
          </w:sdtPr>
          <w:sdtEndPr>
            <w:rPr>
              <w:rFonts w:ascii="Times New Roman" w:hAnsi="Times New Roman" w:cs="Times New Roman"/>
            </w:rPr>
          </w:sdtEndPr>
          <w:sdtContent>
            <w:p>
              <w:pPr>
                <w:pStyle w:val="27"/>
                <w:ind w:left="720" w:hanging="720"/>
                <w:rPr>
                  <w:sz w:val="24"/>
                  <w:szCs w:val="24"/>
                </w:rPr>
              </w:pPr>
              <w:r>
                <w:rPr>
                  <w:rFonts w:ascii="Times New Roman" w:hAnsi="Times New Roman" w:cs="Times New Roman"/>
                </w:rPr>
                <w:fldChar w:fldCharType="begin"/>
              </w:r>
              <w:r>
                <w:rPr>
                  <w:rFonts w:ascii="Times New Roman" w:hAnsi="Times New Roman" w:cs="Times New Roman"/>
                </w:rPr>
                <w:instrText xml:space="preserve"> BIBLIOGRAPHY </w:instrText>
              </w:r>
              <w:r>
                <w:rPr>
                  <w:rFonts w:ascii="Times New Roman" w:hAnsi="Times New Roman" w:cs="Times New Roman"/>
                </w:rPr>
                <w:fldChar w:fldCharType="separate"/>
              </w:r>
              <w:r>
                <w:t xml:space="preserve">Wensheng Peng; Jiming Ha; Cynthia Leung ; Kelvin Fan. (2003). The fiscal deficit and macroeconomic stability in Hong Kong SAR . </w:t>
              </w:r>
              <w:r>
                <w:rPr>
                  <w:i/>
                  <w:iCs/>
                </w:rPr>
                <w:t>BIS Papers</w:t>
              </w:r>
              <w:r>
                <w:t>(20).</w:t>
              </w:r>
            </w:p>
            <w:p>
              <w:pPr>
                <w:pStyle w:val="27"/>
                <w:ind w:left="720" w:hanging="720"/>
              </w:pPr>
              <w:r>
                <w:t xml:space="preserve">1, J. L., 2, J. J., Guo, H., &amp; Chen, a. L. (2018). Cost and Experience Based Real Estate Estimation Model. </w:t>
              </w:r>
              <w:r>
                <w:rPr>
                  <w:i/>
                  <w:iCs/>
                </w:rPr>
                <w:t>MDPI Sustainability, 10</w:t>
              </w:r>
              <w:r>
                <w:t>.</w:t>
              </w:r>
            </w:p>
            <w:p>
              <w:pPr>
                <w:pStyle w:val="27"/>
                <w:ind w:left="720" w:hanging="720"/>
              </w:pPr>
              <w:r>
                <w:t xml:space="preserve">2021, C. B. (2021). </w:t>
              </w:r>
              <w:r>
                <w:rPr>
                  <w:i/>
                  <w:iCs/>
                </w:rPr>
                <w:t>Construction, and Mining and Quarrying</w:t>
              </w:r>
              <w:r>
                <w:t>. Retrieved September 16, 2022, from https://www.cbsl.gov.lk/sites/default/files/cbslweb_documents/publications/annual_report/2021/en/Full_Text_Volume_I.pdf</w:t>
              </w:r>
            </w:p>
            <w:p>
              <w:pPr>
                <w:pStyle w:val="27"/>
                <w:ind w:left="720" w:hanging="720"/>
              </w:pPr>
              <w:r>
                <w:t xml:space="preserve">AJZEN, I. (1991). The Theory of Planned Behavior. </w:t>
              </w:r>
              <w:r>
                <w:rPr>
                  <w:i/>
                  <w:iCs/>
                </w:rPr>
                <w:t xml:space="preserve">ORGANIZATIONAL BEHAVIOR AND HUMAN DECISION PROCESSES </w:t>
              </w:r>
              <w:r>
                <w:t>(50), 179-211.</w:t>
              </w:r>
            </w:p>
            <w:p>
              <w:pPr>
                <w:pStyle w:val="27"/>
                <w:ind w:left="720" w:hanging="720"/>
              </w:pPr>
              <w:r>
                <w:t xml:space="preserve">Akmar, A. N., Konijnendijk, C., Sreetheran, M., &amp; Nilsson, K. (2011). Greenspace Planning and Management in Klang Valley, Peninsular Malaysia. </w:t>
              </w:r>
              <w:r>
                <w:rPr>
                  <w:i/>
                  <w:iCs/>
                </w:rPr>
                <w:t>Arboriculture &amp; Urban Forestry, 37</w:t>
              </w:r>
              <w:r>
                <w:t>(3), 99–107.</w:t>
              </w:r>
            </w:p>
            <w:p>
              <w:pPr>
                <w:pStyle w:val="27"/>
                <w:ind w:left="720" w:hanging="720"/>
              </w:pPr>
              <w:r>
                <w:t xml:space="preserve">Alicia Llorca; Laura Fernandez-Duran; S. Valero; V. Botti. (2014). The impact of location on housing prices: applying the Artificial Neural Network Model as an analytical tool. </w:t>
              </w:r>
              <w:r>
                <w:rPr>
                  <w:i/>
                  <w:iCs/>
                </w:rPr>
                <w:t>ResearchGate</w:t>
              </w:r>
              <w:r>
                <w:t>.</w:t>
              </w:r>
            </w:p>
            <w:p>
              <w:pPr>
                <w:pStyle w:val="27"/>
                <w:ind w:left="720" w:hanging="720"/>
              </w:pPr>
              <w:r>
                <w:t xml:space="preserve">Al-Nahdi, T. S., &amp; Ghazzawi, O. H. (2015). Behavioral Factors Affecting Real Estate Purchasing. </w:t>
              </w:r>
              <w:r>
                <w:rPr>
                  <w:i/>
                  <w:iCs/>
                </w:rPr>
                <w:t>International Journal of Business and Social Science, 6</w:t>
              </w:r>
              <w:r>
                <w:t>(8 (1)).</w:t>
              </w:r>
            </w:p>
            <w:p>
              <w:pPr>
                <w:pStyle w:val="27"/>
                <w:ind w:left="720" w:hanging="720"/>
              </w:pPr>
              <w:r>
                <w:t xml:space="preserve">Al-Nahdi, T. S., Ghazzawi, O. H., &amp; Bakar, A. H. (2015). Behavioral Factors Affecting Real Estate Purchasing. </w:t>
              </w:r>
              <w:r>
                <w:rPr>
                  <w:i/>
                  <w:iCs/>
                </w:rPr>
                <w:t>International Journal of Business and Social Science, 6</w:t>
              </w:r>
              <w:r>
                <w:t>(8 (1)).</w:t>
              </w:r>
            </w:p>
            <w:p>
              <w:pPr>
                <w:pStyle w:val="27"/>
                <w:ind w:left="720" w:hanging="720"/>
              </w:pPr>
              <w:r>
                <w:t xml:space="preserve">Andrey Pavlov; George W. Blazenko . (2005). The Neighborhood Effect of Real Estate Maintenance . </w:t>
              </w:r>
              <w:r>
                <w:rPr>
                  <w:i/>
                  <w:iCs/>
                </w:rPr>
                <w:t>The Journal of Real Estate Finance and Economics, 9</w:t>
              </w:r>
              <w:r>
                <w:t>.</w:t>
              </w:r>
            </w:p>
            <w:p>
              <w:pPr>
                <w:pStyle w:val="27"/>
                <w:ind w:left="720" w:hanging="720"/>
              </w:pPr>
              <w:r>
                <w:t xml:space="preserve">Ariyawansa, R. G., &amp; Perera, M. A. (2018). Socio-Economic Insight of the Secondary Housing Market in Colombo Suburbs: Seller’s Point of Views. </w:t>
              </w:r>
              <w:r>
                <w:rPr>
                  <w:i/>
                  <w:iCs/>
                </w:rPr>
                <w:t>International Journal of Architectural and Environmental Engineering, 12</w:t>
              </w:r>
              <w:r>
                <w:t>(10).</w:t>
              </w:r>
            </w:p>
            <w:p>
              <w:pPr>
                <w:pStyle w:val="27"/>
                <w:ind w:left="720" w:hanging="720"/>
              </w:pPr>
              <w:r>
                <w:t xml:space="preserve">Bank, A. D. (2015). </w:t>
              </w:r>
              <w:r>
                <w:rPr>
                  <w:i/>
                  <w:iCs/>
                </w:rPr>
                <w:t>Income Class Distribution, Developing Asia</w:t>
              </w:r>
              <w:r>
                <w:t>. Retrieved October 29, 2022, from https://data.adb.org/dataset/income-class-distribution-developing-asia</w:t>
              </w:r>
            </w:p>
            <w:p>
              <w:pPr>
                <w:pStyle w:val="27"/>
                <w:ind w:left="720" w:hanging="720"/>
              </w:pPr>
              <w:r>
                <w:t xml:space="preserve">Bhardwaj, P. (2019). Types of Sampling in Research. </w:t>
              </w:r>
              <w:r>
                <w:rPr>
                  <w:i/>
                  <w:iCs/>
                </w:rPr>
                <w:t>Journal of the Practice of Cardiovascular Sciences, 5</w:t>
              </w:r>
              <w:r>
                <w:t>(3).</w:t>
              </w:r>
            </w:p>
            <w:p>
              <w:pPr>
                <w:pStyle w:val="27"/>
                <w:ind w:left="720" w:hanging="720"/>
              </w:pPr>
              <w:r>
                <w:t xml:space="preserve">BYJU'S. (n.d.). </w:t>
              </w:r>
              <w:r>
                <w:rPr>
                  <w:i/>
                  <w:iCs/>
                </w:rPr>
                <w:t>Meaning and Sources of Secondary Data</w:t>
              </w:r>
              <w:r>
                <w:t>. Retrieved November 1, 2022, from https://byjus.com/commerce/what-is-secondary-data-meaning-and-sources/</w:t>
              </w:r>
            </w:p>
            <w:p>
              <w:pPr>
                <w:pStyle w:val="27"/>
                <w:ind w:left="720" w:hanging="720"/>
              </w:pPr>
              <w:r>
                <w:t xml:space="preserve">Carl McDaniel, J. (2012). </w:t>
              </w:r>
              <w:r>
                <w:rPr>
                  <w:i/>
                  <w:iCs/>
                </w:rPr>
                <w:t>Marketing Research</w:t>
              </w:r>
              <w:r>
                <w:t xml:space="preserve"> (9th ed.). Texas: John Wiley &amp; Sons, Inc.</w:t>
              </w:r>
            </w:p>
            <w:p>
              <w:pPr>
                <w:pStyle w:val="27"/>
                <w:ind w:left="720" w:hanging="720"/>
              </w:pPr>
              <w:r>
                <w:t xml:space="preserve">Cava, G. L. (2016). </w:t>
              </w:r>
              <w:r>
                <w:rPr>
                  <w:i/>
                  <w:iCs/>
                </w:rPr>
                <w:t>Housing Prices, Mortgage Interest Rates and the Rising Share of Capital Income in the United States.</w:t>
              </w:r>
              <w:r>
                <w:t xml:space="preserve"> Retrieved October 18, 2022, from BIS Papers: https://www.bis.org/publ/work572.pdf</w:t>
              </w:r>
            </w:p>
            <w:p>
              <w:pPr>
                <w:pStyle w:val="27"/>
                <w:ind w:left="720" w:hanging="720"/>
              </w:pPr>
              <w:r>
                <w:t xml:space="preserve">ceylonproperty. (2021). </w:t>
              </w:r>
              <w:r>
                <w:rPr>
                  <w:i/>
                  <w:iCs/>
                </w:rPr>
                <w:t>Current Real Estate property Market Condition in Sri Lanka</w:t>
              </w:r>
              <w:r>
                <w:t>. Retrieved October 3, 2022, from https://ceylonproperty.lk/public/blog/current-real-estate-market-conditions-in-sri-lanka/</w:t>
              </w:r>
            </w:p>
            <w:p>
              <w:pPr>
                <w:pStyle w:val="27"/>
                <w:ind w:left="720" w:hanging="720"/>
              </w:pPr>
              <w:r>
                <w:t xml:space="preserve">Chang Chen; Haoyu Zhai; Zhiruo Wang; Shen Ma; Jie Sun; Chengliang Wu;Yang Zhang. (2021). Experimental Research on the Impact of Interest Rate on Real Estate Market Transactions. </w:t>
              </w:r>
              <w:r>
                <w:rPr>
                  <w:i/>
                  <w:iCs/>
                </w:rPr>
                <w:t>Hindawi</w:t>
              </w:r>
              <w:r>
                <w:t>, 14.</w:t>
              </w:r>
            </w:p>
            <w:p>
              <w:pPr>
                <w:pStyle w:val="27"/>
                <w:ind w:left="720" w:hanging="720"/>
              </w:pPr>
              <w:r>
                <w:t xml:space="preserve">Chen, C., Zhai, H., Wang, Z., Ma, S., Sun, J., Wu, C., &amp; Zhang, Y. (2021). Experimental Research on the Impact of Interest Rate on Real Estate Market Transactions. </w:t>
              </w:r>
              <w:r>
                <w:rPr>
                  <w:i/>
                  <w:iCs/>
                </w:rPr>
                <w:t>Hindawi</w:t>
              </w:r>
              <w:r>
                <w:t>, 14.</w:t>
              </w:r>
            </w:p>
            <w:p>
              <w:pPr>
                <w:pStyle w:val="27"/>
                <w:ind w:left="720" w:hanging="720"/>
              </w:pPr>
              <w:r>
                <w:t xml:space="preserve">Connelly, L. M. (2013). Demographic data in research studies . </w:t>
              </w:r>
              <w:r>
                <w:rPr>
                  <w:i/>
                  <w:iCs/>
                </w:rPr>
                <w:t>Jannetti Publications, Inc., 22</w:t>
              </w:r>
              <w:r>
                <w:t>(4).</w:t>
              </w:r>
            </w:p>
            <w:p>
              <w:pPr>
                <w:pStyle w:val="27"/>
                <w:ind w:left="720" w:hanging="720"/>
              </w:pPr>
              <w:r>
                <w:t xml:space="preserve">Connelly, R., Gayle, V., &amp; Lambert, P. S. (2016). A review of educational attainment measures for social survey research. </w:t>
              </w:r>
              <w:r>
                <w:rPr>
                  <w:i/>
                  <w:iCs/>
                </w:rPr>
                <w:t>Methodological Innovations, 9</w:t>
              </w:r>
              <w:r>
                <w:t>(11).</w:t>
              </w:r>
            </w:p>
            <w:p>
              <w:pPr>
                <w:pStyle w:val="27"/>
                <w:ind w:left="720" w:hanging="720"/>
              </w:pPr>
              <w:r>
                <w:t xml:space="preserve">Differences, K. (2020). </w:t>
              </w:r>
              <w:r>
                <w:rPr>
                  <w:i/>
                  <w:iCs/>
                </w:rPr>
                <w:t>Difference Between Primary and Secondary Data</w:t>
              </w:r>
              <w:r>
                <w:t>. Retrieved October 27, 2022, from https://keydifferences.com/difference-between-primary-and-secondary-data.html#:~:text=The%20term%20primary%20data%20refers%20to%20the%20data,data%20is%20one%20which%20relates%20to%20the%20past</w:t>
              </w:r>
            </w:p>
            <w:p>
              <w:pPr>
                <w:pStyle w:val="27"/>
                <w:ind w:left="720" w:hanging="720"/>
              </w:pPr>
              <w:r>
                <w:t xml:space="preserve">ECONOMIC, P. A. (2019). </w:t>
              </w:r>
              <w:r>
                <w:rPr>
                  <w:i/>
                  <w:iCs/>
                </w:rPr>
                <w:t>Sri Lanka's Graduation to the Upper Middle Income Country Status.</w:t>
              </w:r>
              <w:r>
                <w:t xml:space="preserve"> Retrieved November 03, 2022, from Central Bank Sri Lanka: https://www.cbsl.gov.lk/sites/default/files/cbslweb_documents/publications/annual_report/2019/en/13_Box_01.pdf</w:t>
              </w:r>
            </w:p>
            <w:p>
              <w:pPr>
                <w:pStyle w:val="27"/>
                <w:ind w:left="720" w:hanging="720"/>
              </w:pPr>
              <w:r>
                <w:t xml:space="preserve">HARGRAVE, M., &amp; BROCK, T. (2021). </w:t>
              </w:r>
              <w:r>
                <w:rPr>
                  <w:i/>
                  <w:iCs/>
                </w:rPr>
                <w:t>Hedonic Pricing: Definition, How the Model Is Used, and Example.</w:t>
              </w:r>
              <w:r>
                <w:t xml:space="preserve"> Retrieved September 05, 2022, from investopedia: https://www.investopedia.com/terms/h/hedonicpricing.asp</w:t>
              </w:r>
            </w:p>
            <w:p>
              <w:pPr>
                <w:pStyle w:val="27"/>
                <w:ind w:left="720" w:hanging="720"/>
              </w:pPr>
              <w:r>
                <w:t xml:space="preserve">Jiangtao Li 1; Jianyue Ji 2; Huiwen Guo; and Lei Chen. ( 2018). Cost and Experience Based Real Estate Estimation Model . </w:t>
              </w:r>
              <w:r>
                <w:rPr>
                  <w:i/>
                  <w:iCs/>
                </w:rPr>
                <w:t>MDPI Sustainability, 10</w:t>
              </w:r>
              <w:r>
                <w:t>.</w:t>
              </w:r>
            </w:p>
            <w:p>
              <w:pPr>
                <w:pStyle w:val="27"/>
                <w:ind w:left="720" w:hanging="720"/>
              </w:pPr>
              <w:r>
                <w:t xml:space="preserve">Jin-Soo Lee, L.-T. (., Han, H., &amp; Kim, Y. (2010). Understanding how consumers view green hotels: how a hotel's green image can influence behavioural intentions. </w:t>
              </w:r>
              <w:r>
                <w:rPr>
                  <w:i/>
                  <w:iCs/>
                </w:rPr>
                <w:t>Taylor and Francis, 18</w:t>
              </w:r>
              <w:r>
                <w:t>(7), 901-914.</w:t>
              </w:r>
            </w:p>
            <w:p>
              <w:pPr>
                <w:pStyle w:val="27"/>
                <w:ind w:left="720" w:hanging="720"/>
              </w:pPr>
              <w:r>
                <w:t xml:space="preserve">Kapsos, S., &amp; Bourmpoula, E. (2013). </w:t>
              </w:r>
              <w:r>
                <w:rPr>
                  <w:i/>
                  <w:iCs/>
                </w:rPr>
                <w:t>Employment and economic class in the developing world.</w:t>
              </w:r>
              <w:r>
                <w:t xml:space="preserve"> Retrieved September 16, 2022, from International Labour Office: https://www.ilo.org/wcmsp5/groups/public/---dgreports/---inst/documents/publication/wcms_216451.pdf</w:t>
              </w:r>
            </w:p>
            <w:p>
              <w:pPr>
                <w:pStyle w:val="27"/>
                <w:ind w:left="720" w:hanging="720"/>
              </w:pPr>
              <w:r>
                <w:t xml:space="preserve">KIM, T.-K., HORNER, M. W., &amp; MARANS, R. W. (2005). Life Cycle and Environmental Factors in Selecting Residential and Job Locations. </w:t>
              </w:r>
              <w:r>
                <w:rPr>
                  <w:i/>
                  <w:iCs/>
                </w:rPr>
                <w:t>Housing Studies, 20</w:t>
              </w:r>
              <w:r>
                <w:t>(3), 457–473.</w:t>
              </w:r>
            </w:p>
            <w:p>
              <w:pPr>
                <w:pStyle w:val="27"/>
                <w:ind w:left="720" w:hanging="720"/>
              </w:pPr>
              <w:r>
                <w:t xml:space="preserve">KPMG. (2018). </w:t>
              </w:r>
              <w:r>
                <w:rPr>
                  <w:i/>
                  <w:iCs/>
                </w:rPr>
                <w:t>Paradise Island – Luxury living in the tropics.</w:t>
              </w:r>
              <w:r>
                <w:t xml:space="preserve"> Retrieved October 18, 2022, from KPMG Official website.</w:t>
              </w:r>
            </w:p>
            <w:p>
              <w:pPr>
                <w:pStyle w:val="27"/>
                <w:ind w:left="720" w:hanging="720"/>
              </w:pPr>
              <w:r>
                <w:t xml:space="preserve">KPMG. (2020). </w:t>
              </w:r>
              <w:r>
                <w:rPr>
                  <w:i/>
                  <w:iCs/>
                </w:rPr>
                <w:t>Real Estate</w:t>
              </w:r>
              <w:r>
                <w:t>. Retrieved September 12, 2022, from https://home.kpmg/lk/en/home/industries/real-estate.html</w:t>
              </w:r>
            </w:p>
            <w:p>
              <w:pPr>
                <w:pStyle w:val="27"/>
                <w:ind w:left="720" w:hanging="720"/>
              </w:pPr>
              <w:r>
                <w:t xml:space="preserve">Kumar, Y., &amp; Khandelwal, U. (2018). Factors Affecting Buying Behaviour in the Purchase of Residential Property: A Factor Analysis Approach. </w:t>
              </w:r>
              <w:r>
                <w:rPr>
                  <w:i/>
                  <w:iCs/>
                </w:rPr>
                <w:t>International Journal on Customer Relations, 6</w:t>
              </w:r>
              <w:r>
                <w:t>(2), 27-32.</w:t>
              </w:r>
            </w:p>
            <w:p>
              <w:pPr>
                <w:pStyle w:val="27"/>
                <w:ind w:left="720" w:hanging="720"/>
              </w:pPr>
              <w:r>
                <w:t xml:space="preserve">Lanka, C. B. (2017). </w:t>
              </w:r>
              <w:r>
                <w:rPr>
                  <w:i/>
                  <w:iCs/>
                </w:rPr>
                <w:t>Condominium Market Survey and Real Estate Property Price Indices</w:t>
              </w:r>
              <w:r>
                <w:t>. Retrieved October 09, 2022, from https://www.cbsl.gov.lk/en/condominium-market-survey</w:t>
              </w:r>
            </w:p>
            <w:p>
              <w:pPr>
                <w:pStyle w:val="27"/>
                <w:ind w:left="720" w:hanging="720"/>
              </w:pPr>
              <w:r>
                <w:t xml:space="preserve">Lanka, C. b. (2020). </w:t>
              </w:r>
              <w:r>
                <w:rPr>
                  <w:i/>
                  <w:iCs/>
                </w:rPr>
                <w:t>Real Estate Market Analysis</w:t>
              </w:r>
              <w:r>
                <w:t>. Retrieved October 18, 2022, from https://www.cbsl.gov.lk/sites/default/files/cbslweb_documents/statistics/real_estate_market_analysis_2022_q1.pdf</w:t>
              </w:r>
            </w:p>
            <w:p>
              <w:pPr>
                <w:pStyle w:val="27"/>
                <w:ind w:left="720" w:hanging="720"/>
              </w:pPr>
              <w:r>
                <w:t xml:space="preserve">LANKA, L. O. (n.d.). </w:t>
              </w:r>
              <w:r>
                <w:rPr>
                  <w:i/>
                  <w:iCs/>
                </w:rPr>
                <w:t>PREVENTION OF FRAUDS ORDINANCE.</w:t>
              </w:r>
              <w:r>
                <w:t xml:space="preserve"> Retrieved October 20, 2022, from LAW OF SRI LANKA: https://www.srilankalaw.lk/Volume-VI/prevention-of-frauds-ordinance.html</w:t>
              </w:r>
            </w:p>
            <w:p>
              <w:pPr>
                <w:pStyle w:val="27"/>
                <w:ind w:left="720" w:hanging="720"/>
              </w:pPr>
              <w:r>
                <w:t xml:space="preserve">LankaPropertyWeb. (2022). </w:t>
              </w:r>
              <w:r>
                <w:rPr>
                  <w:i/>
                  <w:iCs/>
                </w:rPr>
                <w:t>Average property prices of Sri Lanka</w:t>
              </w:r>
              <w:r>
                <w:t>. Retrieved September 22, 2022, from https://www.lankapropertyweb.com/house_prices.php</w:t>
              </w:r>
            </w:p>
            <w:p>
              <w:pPr>
                <w:pStyle w:val="27"/>
                <w:ind w:left="720" w:hanging="720"/>
              </w:pPr>
              <w:r>
                <w:t xml:space="preserve">Lee, J. M., &amp; Ong, E. G. (2020). Consumers’ choice factors for buying residential property in the Philippines. </w:t>
              </w:r>
              <w:r>
                <w:rPr>
                  <w:i/>
                  <w:iCs/>
                </w:rPr>
                <w:t>INTERNATIONAL JOURNAL OF RESEARCH IN BUSINESS AND SOCIAL SCIENCE, 9</w:t>
              </w:r>
              <w:r>
                <w:t>(4), 271-276.</w:t>
              </w:r>
            </w:p>
            <w:p>
              <w:pPr>
                <w:pStyle w:val="27"/>
                <w:ind w:left="720" w:hanging="720"/>
              </w:pPr>
              <w:r>
                <w:t xml:space="preserve">Lee, J. M., &amp; Ong, E. G. (2020). Consumers’ choice factors for buying residential property in the Philippines. </w:t>
              </w:r>
              <w:r>
                <w:rPr>
                  <w:i/>
                  <w:iCs/>
                </w:rPr>
                <w:t>INTERNATIONAL JOURNAL OF RESEARCH IN BUSINESS AND SOCIAL SCIENCE, 6</w:t>
              </w:r>
              <w:r>
                <w:t>(4), 271-276.</w:t>
              </w:r>
            </w:p>
            <w:p>
              <w:pPr>
                <w:pStyle w:val="27"/>
                <w:ind w:left="720" w:hanging="720"/>
              </w:pPr>
              <w:r>
                <w:t xml:space="preserve">Llorca, A., Fernandez-Duran, L., Valero, S., &amp; Botti, V. (2014). The impact of location on housing prices: applying the Artificial Neural Network Model as an analytical tool. </w:t>
              </w:r>
              <w:r>
                <w:rPr>
                  <w:i/>
                  <w:iCs/>
                </w:rPr>
                <w:t>ResearchGate</w:t>
              </w:r>
              <w:r>
                <w:t>.</w:t>
              </w:r>
            </w:p>
            <w:p>
              <w:pPr>
                <w:pStyle w:val="27"/>
                <w:ind w:left="720" w:hanging="720"/>
              </w:pPr>
              <w:r>
                <w:t xml:space="preserve">M.Gibler, K., &amp; Nelson, S. L. (2015). Consumer Behavior Applications to Real Estate Education. </w:t>
              </w:r>
              <w:r>
                <w:rPr>
                  <w:i/>
                  <w:iCs/>
                </w:rPr>
                <w:t>ResearchGate</w:t>
              </w:r>
              <w:r>
                <w:t>.</w:t>
              </w:r>
            </w:p>
            <w:p>
              <w:pPr>
                <w:pStyle w:val="27"/>
                <w:ind w:left="720" w:hanging="720"/>
              </w:pPr>
              <w:r>
                <w:t xml:space="preserve">Majid, R., Said, R., &amp; Daud, M. N. (2012). The Impact Of Buyers’ Demography On Property Purchasing. </w:t>
              </w:r>
              <w:r>
                <w:rPr>
                  <w:i/>
                  <w:iCs/>
                </w:rPr>
                <w:t>Journal of Surveying, Construction &amp; Property, 3</w:t>
              </w:r>
              <w:r>
                <w:t>(2).</w:t>
              </w:r>
            </w:p>
            <w:p>
              <w:pPr>
                <w:pStyle w:val="27"/>
                <w:ind w:left="720" w:hanging="720"/>
              </w:pPr>
              <w:r>
                <w:t xml:space="preserve">Majid, R., Said, R., &amp; Daud, M. N. (2012). The Impact Of Buyers’ Demography On Property Purchasing. </w:t>
              </w:r>
              <w:r>
                <w:rPr>
                  <w:i/>
                  <w:iCs/>
                </w:rPr>
                <w:t>Journal of Surveying, Construction &amp; Property, 3</w:t>
              </w:r>
              <w:r>
                <w:t>(2).</w:t>
              </w:r>
            </w:p>
            <w:p>
              <w:pPr>
                <w:pStyle w:val="27"/>
                <w:ind w:left="720" w:hanging="720"/>
              </w:pPr>
              <w:r>
                <w:t xml:space="preserve">Malaysia, B. N. (2020). </w:t>
              </w:r>
              <w:r>
                <w:rPr>
                  <w:i/>
                  <w:iCs/>
                </w:rPr>
                <w:t>Invest in the Malaysian Financial Markets</w:t>
              </w:r>
              <w:r>
                <w:t>. Retrieved October 11, 2022, from bnm.gov.my/financialmarkets</w:t>
              </w:r>
            </w:p>
            <w:p>
              <w:pPr>
                <w:pStyle w:val="27"/>
                <w:ind w:left="720" w:hanging="720"/>
              </w:pPr>
              <w:r>
                <w:t xml:space="preserve">Małgorzata Rymarzak; Ewa Siemin´ska. (2012). Factors affecting the location of real estate. </w:t>
              </w:r>
              <w:r>
                <w:rPr>
                  <w:i/>
                  <w:iCs/>
                </w:rPr>
                <w:t>Emerald Insight, 14</w:t>
              </w:r>
              <w:r>
                <w:t>(4), 214 - 225.</w:t>
              </w:r>
            </w:p>
            <w:p>
              <w:pPr>
                <w:pStyle w:val="27"/>
                <w:ind w:left="720" w:hanging="720"/>
              </w:pPr>
              <w:r>
                <w:t xml:space="preserve">Marshall, A. (1920 ). </w:t>
              </w:r>
              <w:r>
                <w:rPr>
                  <w:i/>
                  <w:iCs/>
                </w:rPr>
                <w:t>Principles of Economics</w:t>
              </w:r>
              <w:r>
                <w:t xml:space="preserve"> (8th ed.). London: Macmillan and Co.</w:t>
              </w:r>
            </w:p>
            <w:p>
              <w:pPr>
                <w:pStyle w:val="27"/>
                <w:ind w:left="720" w:hanging="720"/>
              </w:pPr>
              <w:r>
                <w:t xml:space="preserve">Mehrhoff, D. J. (2016). How should we measure residential property prices to inform policy makers? In J. Mehrhoff (Ed.), </w:t>
              </w:r>
              <w:r>
                <w:rPr>
                  <w:i/>
                  <w:iCs/>
                </w:rPr>
                <w:t>8th IFC Conference</w:t>
              </w:r>
              <w:r>
                <w:t xml:space="preserve"> (pp. 8-9). Deutsche Bundesbank. Retrieved from Deutsche Bundes Bank.</w:t>
              </w:r>
            </w:p>
            <w:p>
              <w:pPr>
                <w:pStyle w:val="27"/>
                <w:ind w:left="720" w:hanging="720"/>
              </w:pPr>
              <w:r>
                <w:t xml:space="preserve">Mills, E. (2004). Amplifying Real Estate Value through Energy &amp; Water Management. </w:t>
              </w:r>
              <w:r>
                <w:rPr>
                  <w:i/>
                  <w:iCs/>
                </w:rPr>
                <w:t>ACEEE Summer Study on Energy Efficiency in Buildings</w:t>
              </w:r>
              <w:r>
                <w:t xml:space="preserve"> (pp. 22-27). Berkeley, CA 94720 USA: Lawrence Berkeley National Laboratory. Retrieved from Lawrence Berkeley National Laboratory .</w:t>
              </w:r>
            </w:p>
            <w:p>
              <w:pPr>
                <w:pStyle w:val="27"/>
                <w:ind w:left="720" w:hanging="720"/>
              </w:pPr>
              <w:r>
                <w:t xml:space="preserve">omniconvert. (n.d.). </w:t>
              </w:r>
              <w:r>
                <w:rPr>
                  <w:i/>
                  <w:iCs/>
                </w:rPr>
                <w:t>Consumer behavior in marketing – patterns, types, segmentation</w:t>
              </w:r>
              <w:r>
                <w:t>. Retrieved September 16, 2022, from https://www.omniconvert.com/blog/consumer-behavior-in-marketing-patterns-types-segmentation/</w:t>
              </w:r>
            </w:p>
            <w:p>
              <w:pPr>
                <w:pStyle w:val="27"/>
                <w:ind w:left="720" w:hanging="720"/>
              </w:pPr>
              <w:r>
                <w:t xml:space="preserve">Papers, B. (2005). </w:t>
              </w:r>
              <w:r>
                <w:rPr>
                  <w:i/>
                  <w:iCs/>
                </w:rPr>
                <w:t>Real estate indicators and financial stability</w:t>
              </w:r>
              <w:r>
                <w:t>. Retrieved October 23, 2022, from https://www.bis.org/publ/bppdf/bispap21.pdf</w:t>
              </w:r>
            </w:p>
            <w:p>
              <w:pPr>
                <w:pStyle w:val="27"/>
                <w:ind w:left="720" w:hanging="720"/>
              </w:pPr>
              <w:r>
                <w:t xml:space="preserve">Pavlov, A., &amp; Blazenko, G. W. (2005). The Neighborhood Effect of Real Estate Maintenance. </w:t>
              </w:r>
              <w:r>
                <w:rPr>
                  <w:i/>
                  <w:iCs/>
                </w:rPr>
                <w:t>The Journal of Real Estate Finance and Economics, 9</w:t>
              </w:r>
              <w:r>
                <w:t>.</w:t>
              </w:r>
            </w:p>
            <w:p>
              <w:pPr>
                <w:pStyle w:val="27"/>
                <w:ind w:left="720" w:hanging="720"/>
              </w:pPr>
              <w:r>
                <w:t xml:space="preserve">Peiris, G. L. (1976 - 1977). </w:t>
              </w:r>
              <w:r>
                <w:rPr>
                  <w:i/>
                  <w:iCs/>
                </w:rPr>
                <w:t>The law of property in Sri Lanka.</w:t>
              </w:r>
              <w:r>
                <w:t xml:space="preserve"> Colombo : Lake House Investments.</w:t>
              </w:r>
            </w:p>
            <w:p>
              <w:pPr>
                <w:pStyle w:val="27"/>
                <w:ind w:left="720" w:hanging="720"/>
              </w:pPr>
              <w:r>
                <w:t xml:space="preserve">Peng, W., Ha, J., Leung, C., &amp; Fan, K. (2003). The fiscal deficit and macroeconomic stability in Hong Kong SAR. </w:t>
              </w:r>
              <w:r>
                <w:rPr>
                  <w:i/>
                  <w:iCs/>
                </w:rPr>
                <w:t>BIS Papers</w:t>
              </w:r>
              <w:r>
                <w:t>(20).</w:t>
              </w:r>
            </w:p>
            <w:p>
              <w:pPr>
                <w:pStyle w:val="27"/>
                <w:ind w:left="720" w:hanging="720"/>
              </w:pPr>
              <w:r>
                <w:t xml:space="preserve">Planning, D. o.-M. (2012). </w:t>
              </w:r>
              <w:r>
                <w:rPr>
                  <w:i/>
                  <w:iCs/>
                </w:rPr>
                <w:t>Census of Population and Housing.</w:t>
              </w:r>
              <w:r>
                <w:t xml:space="preserve"> Retrieved November 2, 2022, from Department of Census and Statistics - Ministry of Finance and Planning : http://www.statistics.gov.lk/pophousat/cph2011/pages/activities/reports/cph_2012_5per_rpt.pdf</w:t>
              </w:r>
            </w:p>
            <w:p>
              <w:pPr>
                <w:pStyle w:val="27"/>
                <w:ind w:left="720" w:hanging="720"/>
              </w:pPr>
              <w:r>
                <w:t xml:space="preserve">R. G. Ariyawansa; M. A. N. R. M. Perera . (2018). Socio-Economic Insight of the Secondary Housing Market in Colombo Suburbs: Seller’s Point of Views . </w:t>
              </w:r>
              <w:r>
                <w:rPr>
                  <w:i/>
                  <w:iCs/>
                </w:rPr>
                <w:t>International Journal of Architectural and Environmental Engineering, 12</w:t>
              </w:r>
              <w:r>
                <w:t>(10).</w:t>
              </w:r>
            </w:p>
            <w:p>
              <w:pPr>
                <w:pStyle w:val="27"/>
                <w:ind w:left="720" w:hanging="720"/>
              </w:pPr>
              <w:r>
                <w:t xml:space="preserve">R.M.K.B, R., R.G, A., &amp; Delipa, E. (2020). FACTORS AFFECTING TO BUYING DECISION OF MIDDLE-INCOME HOUSE BUYERS: STUDY ON SELECTED MIDDLE-INCOME HOUSE PROJECTS IN. </w:t>
              </w:r>
              <w:r>
                <w:rPr>
                  <w:i/>
                  <w:iCs/>
                </w:rPr>
                <w:t>International Conference on Real Estate Management and Valuation (ICREMV):2020.</w:t>
              </w:r>
              <w:r>
                <w:t xml:space="preserve"> Colombo: International Conference on Real Estate Management and Valuation (ICREMV):2020.</w:t>
              </w:r>
            </w:p>
            <w:p>
              <w:pPr>
                <w:pStyle w:val="27"/>
                <w:ind w:left="720" w:hanging="720"/>
              </w:pPr>
              <w:r>
                <w:t xml:space="preserve">Ramasubbian, H., Priyadarsini, K., &amp; Vasuki, M. (2018). Investment Decisions in Real Estate: A Theory of Planned Behavior (TPB) Based Approach. </w:t>
              </w:r>
              <w:r>
                <w:rPr>
                  <w:i/>
                  <w:iCs/>
                </w:rPr>
                <w:t>International Journal of Pure and Applied Mathematics, 119</w:t>
              </w:r>
              <w:r>
                <w:t>(17).</w:t>
              </w:r>
            </w:p>
            <w:p>
              <w:pPr>
                <w:pStyle w:val="27"/>
                <w:ind w:left="720" w:hanging="720"/>
              </w:pPr>
              <w:r>
                <w:t xml:space="preserve">Rathnayaka R.M.K.B; Ariyawansa R.G;Endagamage Delipa. (2020). FACTORS AFFECTING TO BUYING DECISION OF MIDDLE-INCOME HOUSE BUYERS: STUDY ON SELECTED MIDDLE-INCOME HOUSE PROJECTS IN. </w:t>
              </w:r>
              <w:r>
                <w:rPr>
                  <w:i/>
                  <w:iCs/>
                </w:rPr>
                <w:t>International Conference on Real Estate Management and Valuation (ICREMV):2020.</w:t>
              </w:r>
              <w:r>
                <w:t xml:space="preserve"> Colombo: International Conference on Real Estate Management and Valuation (ICREMV):2020.</w:t>
              </w:r>
            </w:p>
            <w:p>
              <w:pPr>
                <w:pStyle w:val="27"/>
                <w:ind w:left="720" w:hanging="720"/>
              </w:pPr>
              <w:r>
                <w:t xml:space="preserve">rocketmortgage. (2022). </w:t>
              </w:r>
              <w:r>
                <w:rPr>
                  <w:i/>
                  <w:iCs/>
                </w:rPr>
                <w:t>How To Get A Mortgage Preapproval</w:t>
              </w:r>
              <w:r>
                <w:t>. Retrieved September 15, 2022, from https://www.rocketmortgage.com/learn/mortgage-preapproval</w:t>
              </w:r>
            </w:p>
            <w:p>
              <w:pPr>
                <w:pStyle w:val="27"/>
                <w:ind w:left="720" w:hanging="720"/>
              </w:pPr>
              <w:r>
                <w:t xml:space="preserve">Roxanne Connelly; Vernon Gayle; Paul S. Lambert. (2016). A review of educational attainment measures for social survey research. </w:t>
              </w:r>
              <w:r>
                <w:rPr>
                  <w:i/>
                  <w:iCs/>
                </w:rPr>
                <w:t>Methodological Innovations, 9</w:t>
              </w:r>
              <w:r>
                <w:t>(11).</w:t>
              </w:r>
            </w:p>
            <w:p>
              <w:pPr>
                <w:pStyle w:val="27"/>
                <w:ind w:left="720" w:hanging="720"/>
              </w:pPr>
              <w:r>
                <w:t xml:space="preserve">Rymarzak, M., &amp; Siemin´ska, E. (2012). Factors affecting the location of real estate. </w:t>
              </w:r>
              <w:r>
                <w:rPr>
                  <w:i/>
                  <w:iCs/>
                </w:rPr>
                <w:t>Emerald Insight, 14</w:t>
              </w:r>
              <w:r>
                <w:t>(4), 214 - 225.</w:t>
              </w:r>
            </w:p>
            <w:p>
              <w:pPr>
                <w:pStyle w:val="27"/>
                <w:ind w:left="720" w:hanging="720"/>
              </w:pPr>
              <w:r>
                <w:t xml:space="preserve">SAN, C. K. (2016). ATTRIBUTES INFLUENCING HOME BUYERS’ PURCHASE DECISION: A STUDY OF RESIDENTIAL PROPERTY IN SETIA ALAM. </w:t>
              </w:r>
              <w:r>
                <w:rPr>
                  <w:i/>
                  <w:iCs/>
                </w:rPr>
                <w:t>Universiti Tunku Abdul Rahman</w:t>
              </w:r>
              <w:r>
                <w:t>.</w:t>
              </w:r>
            </w:p>
            <w:p>
              <w:pPr>
                <w:pStyle w:val="27"/>
                <w:ind w:left="720" w:hanging="720"/>
              </w:pPr>
              <w:r>
                <w:t>Scott, E. (2019). Valuation and sale price. In S. Moloney (Ed.). (p. 3). London: Royal Institution of Chartered Surveyors (RICS).</w:t>
              </w:r>
            </w:p>
            <w:p>
              <w:pPr>
                <w:pStyle w:val="27"/>
                <w:ind w:left="720" w:hanging="720"/>
              </w:pPr>
              <w:r>
                <w:t xml:space="preserve">scribbr. (n.d.). </w:t>
              </w:r>
              <w:r>
                <w:rPr>
                  <w:i/>
                  <w:iCs/>
                </w:rPr>
                <w:t>What’s the difference between descriptive and inferential statistics?</w:t>
              </w:r>
              <w:r>
                <w:t xml:space="preserve"> Retrieved October 17, 2022, from https://www.scribbr.com/frequently-asked-questions/whats-the-difference-between-descriptive-and-inferential-statistics/#:~:text=and%20inferential%20statistics%3F-,What's%20the%20difference%20between%20descriptive%20and%20inferential%20statistics%3F,genera</w:t>
              </w:r>
            </w:p>
            <w:p>
              <w:pPr>
                <w:pStyle w:val="27"/>
                <w:ind w:left="720" w:hanging="720"/>
              </w:pPr>
              <w:r>
                <w:t xml:space="preserve">Shapiro, C., &amp; Varian, H. R. (n.d.). </w:t>
              </w:r>
              <w:r>
                <w:rPr>
                  <w:i/>
                  <w:iCs/>
                </w:rPr>
                <w:t>Information Rules.</w:t>
              </w:r>
              <w:r>
                <w:t xml:space="preserve"> BOSTON, MASSACHUSETTS: HARVARD BUSINESS SCHOOL PRESS.</w:t>
              </w:r>
            </w:p>
            <w:p>
              <w:pPr>
                <w:pStyle w:val="27"/>
                <w:ind w:left="720" w:hanging="720"/>
              </w:pPr>
              <w:r>
                <w:t xml:space="preserve">Shapiro, E., Mackmin, D., &amp; Sams, G. (2009). </w:t>
              </w:r>
              <w:r>
                <w:rPr>
                  <w:i/>
                  <w:iCs/>
                </w:rPr>
                <w:t>Modern Methods of Valuation</w:t>
              </w:r>
              <w:r>
                <w:t xml:space="preserve"> (11th ed.). LONDON AND NEW YORK: Routledge Taylor&amp;FrancisCroup.</w:t>
              </w:r>
            </w:p>
            <w:p>
              <w:pPr>
                <w:pStyle w:val="27"/>
                <w:ind w:left="720" w:hanging="720"/>
              </w:pPr>
              <w:r>
                <w:t xml:space="preserve">Shaqra'a, E. A., Badarulzaman, N., &amp; Roosli, R. (2015). Residents’ Perception of the Affordability of Private Housing Schemes: Lessons from Aden, Yemen. </w:t>
              </w:r>
              <w:r>
                <w:rPr>
                  <w:i/>
                  <w:iCs/>
                </w:rPr>
                <w:t>ASEAN-Turkey ASLI (Annual Serial Landmark International) Conference on Quality of Life</w:t>
              </w:r>
              <w:r>
                <w:t xml:space="preserve"> (pp. 389 – 399). Istanbul, Turkey: y Elsevier Ltd.</w:t>
              </w:r>
            </w:p>
            <w:p>
              <w:pPr>
                <w:pStyle w:val="27"/>
                <w:ind w:left="720" w:hanging="720"/>
              </w:pPr>
              <w:r>
                <w:t xml:space="preserve">Statistics, D. o. (2011). </w:t>
              </w:r>
              <w:r>
                <w:rPr>
                  <w:i/>
                  <w:iCs/>
                </w:rPr>
                <w:t>Census of Population and Housing 2011</w:t>
              </w:r>
              <w:r>
                <w:t>. Retrieved October 05, 2022, from http://www.statistics.gov.lk/Population/StaticalInformation/CPH2011</w:t>
              </w:r>
            </w:p>
            <w:p>
              <w:pPr>
                <w:pStyle w:val="27"/>
                <w:ind w:left="720" w:hanging="720"/>
              </w:pPr>
              <w:r>
                <w:t xml:space="preserve">Statistics, T. D. (2012). </w:t>
              </w:r>
              <w:r>
                <w:rPr>
                  <w:i/>
                  <w:iCs/>
                </w:rPr>
                <w:t>Census of Population and HousingSri Lanka.</w:t>
              </w:r>
              <w:r>
                <w:t xml:space="preserve"> Colombo: The Department of Census and Statistics.</w:t>
              </w:r>
            </w:p>
            <w:p>
              <w:pPr>
                <w:pStyle w:val="27"/>
                <w:ind w:left="720" w:hanging="720"/>
              </w:pPr>
              <w:r>
                <w:t xml:space="preserve">Systems, C. R. (n.d.). </w:t>
              </w:r>
              <w:r>
                <w:rPr>
                  <w:i/>
                  <w:iCs/>
                </w:rPr>
                <w:t>Sample Size Calculator</w:t>
              </w:r>
              <w:r>
                <w:t>. Retrieved October 27, 2022, from https://www.surveysystem.com/sscalc.htm</w:t>
              </w:r>
            </w:p>
            <w:p>
              <w:pPr>
                <w:pStyle w:val="27"/>
                <w:ind w:left="720" w:hanging="720"/>
              </w:pPr>
              <w:r>
                <w:t xml:space="preserve">TonyLockwood, TCoffee, N., PeterRossini, TheoNiyonsenga, &amp; StanleyMcGreal. (2018). Does where you live influence your socio-economic status? </w:t>
              </w:r>
              <w:r>
                <w:rPr>
                  <w:i/>
                  <w:iCs/>
                </w:rPr>
                <w:t>ELSEVIER, 72</w:t>
              </w:r>
              <w:r>
                <w:t>, 152-160.</w:t>
              </w:r>
            </w:p>
            <w:p>
              <w:pPr>
                <w:pStyle w:val="27"/>
                <w:ind w:left="720" w:hanging="720"/>
              </w:pPr>
              <w:r>
                <w:t xml:space="preserve">TonyLockwood; Neil TCoffee; PeterRossini; TheoNiyonsenga; StanleyMcGreal. (2018). Does where you live influence your socio-economic status? </w:t>
              </w:r>
              <w:r>
                <w:rPr>
                  <w:i/>
                  <w:iCs/>
                </w:rPr>
                <w:t>ELSEVIER, 72</w:t>
              </w:r>
              <w:r>
                <w:t>, 152-160.</w:t>
              </w:r>
            </w:p>
            <w:p>
              <w:pPr>
                <w:pStyle w:val="27"/>
                <w:ind w:left="720" w:hanging="720"/>
              </w:pPr>
              <w:r>
                <w:t xml:space="preserve">Torluccio, G., &amp; Dorakh, A. (2011). Housing Affordability and Methodological Principles: An Application. </w:t>
              </w:r>
              <w:r>
                <w:rPr>
                  <w:i/>
                  <w:iCs/>
                </w:rPr>
                <w:t>International Research Journal of Finance and Economics</w:t>
              </w:r>
              <w:r>
                <w:t>(79).</w:t>
              </w:r>
            </w:p>
            <w:p>
              <w:pPr>
                <w:pStyle w:val="27"/>
                <w:ind w:left="720" w:hanging="720"/>
              </w:pPr>
              <w:r>
                <w:t xml:space="preserve">Wickramaarachchi, N. C., Chandani, S. K., &amp; Thilini, M. (2021). Key determinants of time on the market: an analysis of residential housing market in Sri Lanka. </w:t>
              </w:r>
              <w:r>
                <w:rPr>
                  <w:i/>
                  <w:iCs/>
                </w:rPr>
                <w:t>International Journal of Housing Markets and Analysis, 14</w:t>
              </w:r>
              <w:r>
                <w:t>(5), 913-935.</w:t>
              </w:r>
            </w:p>
            <w:p>
              <w:pPr>
                <w:pStyle w:val="27"/>
                <w:spacing w:line="240" w:lineRule="auto"/>
                <w:ind w:left="720" w:hanging="720"/>
                <w:rPr>
                  <w:rFonts w:ascii="Times New Roman" w:hAnsi="Times New Roman" w:cs="Times New Roman"/>
                </w:rPr>
              </w:pPr>
              <w:r>
                <w:rPr>
                  <w:rFonts w:ascii="Times New Roman" w:hAnsi="Times New Roman" w:cs="Times New Roman"/>
                  <w:b/>
                  <w:bCs/>
                </w:rPr>
                <w:fldChar w:fldCharType="end"/>
              </w:r>
            </w:p>
          </w:sdtContent>
        </w:sdt>
      </w:sdtContent>
    </w:sdt>
    <w:sectPr>
      <w:headerReference r:id="rId7" w:type="default"/>
      <w:footerReference r:id="rId9" w:type="default"/>
      <w:headerReference r:id="rId8" w:type="even"/>
      <w:footerReference r:id="rId10" w:type="even"/>
      <w:pgSz w:w="10319" w:h="14571"/>
      <w:pgMar w:top="1152" w:right="1152" w:bottom="1152" w:left="1152"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Iskoola Pota">
    <w:altName w:val="Nirmala UI"/>
    <w:panose1 w:val="00000000000000000000"/>
    <w:charset w:val="00"/>
    <w:family w:val="swiss"/>
    <w:pitch w:val="default"/>
    <w:sig w:usb0="00000000" w:usb1="00000000" w:usb2="00000200" w:usb3="00000000" w:csb0="00000001" w:csb1="00000000"/>
  </w:font>
  <w:font w:name="Calibri">
    <w:panose1 w:val="020F0502020204030204"/>
    <w:charset w:val="00"/>
    <w:family w:val="auto"/>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Helvetica">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46631097"/>
      <w:docPartObj>
        <w:docPartGallery w:val="AutoText"/>
      </w:docPartObj>
    </w:sdtPr>
    <w:sdtContent>
      <w:p>
        <w:pPr>
          <w:pStyle w:val="11"/>
          <w:jc w:val="center"/>
        </w:pPr>
        <w:r>
          <w:fldChar w:fldCharType="begin"/>
        </w:r>
        <w:r>
          <w:instrText xml:space="preserve"> PAGE   \* MERGEFORMAT </w:instrText>
        </w:r>
        <w:r>
          <w:fldChar w:fldCharType="separate"/>
        </w:r>
        <w:r>
          <w:t>17</w:t>
        </w:r>
        <w:r>
          <w:fldChar w:fldCharType="end"/>
        </w:r>
      </w:p>
    </w:sdtContent>
  </w:sdt>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60258549"/>
      <w:docPartObj>
        <w:docPartGallery w:val="AutoText"/>
      </w:docPartObj>
    </w:sdtPr>
    <w:sdtContent>
      <w:p>
        <w:pPr>
          <w:pStyle w:val="11"/>
          <w:jc w:val="center"/>
        </w:pPr>
        <w:r>
          <w:fldChar w:fldCharType="begin"/>
        </w:r>
        <w:r>
          <w:instrText xml:space="preserve"> PAGE   \* MERGEFORMAT </w:instrText>
        </w:r>
        <w:r>
          <w:fldChar w:fldCharType="separate"/>
        </w:r>
        <w:r>
          <w:t>18</w:t>
        </w:r>
        <w:r>
          <w:fldChar w:fldCharType="end"/>
        </w:r>
      </w:p>
    </w:sdtContent>
  </w:sdt>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p>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p>
  <w:p>
    <w:pPr>
      <w:pStyle w:val="1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35F43FC"/>
    <w:multiLevelType w:val="multilevel"/>
    <w:tmpl w:val="435F43FC"/>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4FD02EB5"/>
    <w:multiLevelType w:val="multilevel"/>
    <w:tmpl w:val="4FD02EB5"/>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documentProtection w:enforcement="0"/>
  <w:defaultTabStop w:val="720"/>
  <w:evenAndOddHeaders w:val="1"/>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61AA"/>
    <w:rsid w:val="000277F1"/>
    <w:rsid w:val="000349CC"/>
    <w:rsid w:val="00035286"/>
    <w:rsid w:val="00035741"/>
    <w:rsid w:val="0004259B"/>
    <w:rsid w:val="00053B13"/>
    <w:rsid w:val="000647F9"/>
    <w:rsid w:val="00087E88"/>
    <w:rsid w:val="00097062"/>
    <w:rsid w:val="00097962"/>
    <w:rsid w:val="000A25B5"/>
    <w:rsid w:val="000A3586"/>
    <w:rsid w:val="000A5EF0"/>
    <w:rsid w:val="000B3B6E"/>
    <w:rsid w:val="000C1B5A"/>
    <w:rsid w:val="000D1D2E"/>
    <w:rsid w:val="000E1194"/>
    <w:rsid w:val="000E685A"/>
    <w:rsid w:val="000E6F2E"/>
    <w:rsid w:val="000E7687"/>
    <w:rsid w:val="001038E9"/>
    <w:rsid w:val="00115B07"/>
    <w:rsid w:val="001166DA"/>
    <w:rsid w:val="00127018"/>
    <w:rsid w:val="00127276"/>
    <w:rsid w:val="00130182"/>
    <w:rsid w:val="001370A8"/>
    <w:rsid w:val="00137B1D"/>
    <w:rsid w:val="0014015B"/>
    <w:rsid w:val="0014133E"/>
    <w:rsid w:val="001425B8"/>
    <w:rsid w:val="00150DE2"/>
    <w:rsid w:val="00154BB4"/>
    <w:rsid w:val="00161E2E"/>
    <w:rsid w:val="00166B2B"/>
    <w:rsid w:val="00180CAF"/>
    <w:rsid w:val="00184F49"/>
    <w:rsid w:val="001942EC"/>
    <w:rsid w:val="001973EF"/>
    <w:rsid w:val="001A1C59"/>
    <w:rsid w:val="001A3BF3"/>
    <w:rsid w:val="001B5EA7"/>
    <w:rsid w:val="001C30B6"/>
    <w:rsid w:val="001C6E05"/>
    <w:rsid w:val="001E191D"/>
    <w:rsid w:val="001F209E"/>
    <w:rsid w:val="002007C2"/>
    <w:rsid w:val="00205BCE"/>
    <w:rsid w:val="00225F24"/>
    <w:rsid w:val="0023567B"/>
    <w:rsid w:val="0023671A"/>
    <w:rsid w:val="00245639"/>
    <w:rsid w:val="0025478A"/>
    <w:rsid w:val="00276AA9"/>
    <w:rsid w:val="00286788"/>
    <w:rsid w:val="00293224"/>
    <w:rsid w:val="00294A48"/>
    <w:rsid w:val="002A1EAE"/>
    <w:rsid w:val="002A2A67"/>
    <w:rsid w:val="002A746C"/>
    <w:rsid w:val="002B376D"/>
    <w:rsid w:val="002C26E3"/>
    <w:rsid w:val="002D39B0"/>
    <w:rsid w:val="002D5D1C"/>
    <w:rsid w:val="002E46D5"/>
    <w:rsid w:val="00303A33"/>
    <w:rsid w:val="00314957"/>
    <w:rsid w:val="00314986"/>
    <w:rsid w:val="0032218B"/>
    <w:rsid w:val="00326F9D"/>
    <w:rsid w:val="0033747E"/>
    <w:rsid w:val="0034076F"/>
    <w:rsid w:val="00344E3F"/>
    <w:rsid w:val="00346EDD"/>
    <w:rsid w:val="00350490"/>
    <w:rsid w:val="00357313"/>
    <w:rsid w:val="003667B2"/>
    <w:rsid w:val="003704D2"/>
    <w:rsid w:val="00374C73"/>
    <w:rsid w:val="00397161"/>
    <w:rsid w:val="003A3BF5"/>
    <w:rsid w:val="003B3FC2"/>
    <w:rsid w:val="003C14AB"/>
    <w:rsid w:val="003C1D34"/>
    <w:rsid w:val="003C22E7"/>
    <w:rsid w:val="003D0FDC"/>
    <w:rsid w:val="003D5296"/>
    <w:rsid w:val="003D5DEF"/>
    <w:rsid w:val="003F0EA6"/>
    <w:rsid w:val="003F3D1A"/>
    <w:rsid w:val="003F5973"/>
    <w:rsid w:val="003F77BE"/>
    <w:rsid w:val="0040547C"/>
    <w:rsid w:val="00424326"/>
    <w:rsid w:val="00427AF6"/>
    <w:rsid w:val="00430059"/>
    <w:rsid w:val="00431051"/>
    <w:rsid w:val="00431868"/>
    <w:rsid w:val="0043252B"/>
    <w:rsid w:val="00434D6F"/>
    <w:rsid w:val="004410FF"/>
    <w:rsid w:val="00464B93"/>
    <w:rsid w:val="004704B3"/>
    <w:rsid w:val="004739C7"/>
    <w:rsid w:val="00494D2D"/>
    <w:rsid w:val="004A10BE"/>
    <w:rsid w:val="004B0EBD"/>
    <w:rsid w:val="004B5445"/>
    <w:rsid w:val="004B799F"/>
    <w:rsid w:val="004D1604"/>
    <w:rsid w:val="004D46F7"/>
    <w:rsid w:val="004D6B1F"/>
    <w:rsid w:val="004E0CE2"/>
    <w:rsid w:val="004F2616"/>
    <w:rsid w:val="004F48FC"/>
    <w:rsid w:val="0051717B"/>
    <w:rsid w:val="00563FA7"/>
    <w:rsid w:val="00570D79"/>
    <w:rsid w:val="00573B17"/>
    <w:rsid w:val="005842D6"/>
    <w:rsid w:val="00596453"/>
    <w:rsid w:val="005B3A1E"/>
    <w:rsid w:val="005C41A3"/>
    <w:rsid w:val="005C4DD8"/>
    <w:rsid w:val="005C5BA8"/>
    <w:rsid w:val="005D440D"/>
    <w:rsid w:val="005E3FC9"/>
    <w:rsid w:val="005F1AD7"/>
    <w:rsid w:val="00613D8D"/>
    <w:rsid w:val="00624168"/>
    <w:rsid w:val="00643971"/>
    <w:rsid w:val="00654568"/>
    <w:rsid w:val="006574CC"/>
    <w:rsid w:val="006638FE"/>
    <w:rsid w:val="00664DE9"/>
    <w:rsid w:val="00672FA1"/>
    <w:rsid w:val="006953C7"/>
    <w:rsid w:val="006B017E"/>
    <w:rsid w:val="006C252C"/>
    <w:rsid w:val="006C6102"/>
    <w:rsid w:val="006C69CD"/>
    <w:rsid w:val="006E5560"/>
    <w:rsid w:val="006F61AA"/>
    <w:rsid w:val="00700EC9"/>
    <w:rsid w:val="00701759"/>
    <w:rsid w:val="007137AC"/>
    <w:rsid w:val="007530B7"/>
    <w:rsid w:val="00761DDD"/>
    <w:rsid w:val="00764C74"/>
    <w:rsid w:val="007705C4"/>
    <w:rsid w:val="00783108"/>
    <w:rsid w:val="00785593"/>
    <w:rsid w:val="00793879"/>
    <w:rsid w:val="007A2474"/>
    <w:rsid w:val="007B2282"/>
    <w:rsid w:val="007C2544"/>
    <w:rsid w:val="007C4496"/>
    <w:rsid w:val="007D65C4"/>
    <w:rsid w:val="007F46D5"/>
    <w:rsid w:val="0082217C"/>
    <w:rsid w:val="008241F1"/>
    <w:rsid w:val="00827AE8"/>
    <w:rsid w:val="0083280B"/>
    <w:rsid w:val="00835D5D"/>
    <w:rsid w:val="00851846"/>
    <w:rsid w:val="00851A15"/>
    <w:rsid w:val="00865282"/>
    <w:rsid w:val="0088733C"/>
    <w:rsid w:val="0089087A"/>
    <w:rsid w:val="00895868"/>
    <w:rsid w:val="008C40AD"/>
    <w:rsid w:val="008C4175"/>
    <w:rsid w:val="008C7561"/>
    <w:rsid w:val="008E06CD"/>
    <w:rsid w:val="008F1FA0"/>
    <w:rsid w:val="009220DB"/>
    <w:rsid w:val="00925739"/>
    <w:rsid w:val="0092786D"/>
    <w:rsid w:val="0093408D"/>
    <w:rsid w:val="0094132C"/>
    <w:rsid w:val="00946E54"/>
    <w:rsid w:val="00960B1A"/>
    <w:rsid w:val="00964384"/>
    <w:rsid w:val="00982A9F"/>
    <w:rsid w:val="00985058"/>
    <w:rsid w:val="0098597E"/>
    <w:rsid w:val="00985A9D"/>
    <w:rsid w:val="0098630A"/>
    <w:rsid w:val="00991F59"/>
    <w:rsid w:val="009970B4"/>
    <w:rsid w:val="00997EE5"/>
    <w:rsid w:val="009A0F0B"/>
    <w:rsid w:val="009B6956"/>
    <w:rsid w:val="009D6E8E"/>
    <w:rsid w:val="00A133B9"/>
    <w:rsid w:val="00A14890"/>
    <w:rsid w:val="00A24DA5"/>
    <w:rsid w:val="00A3236B"/>
    <w:rsid w:val="00A349D6"/>
    <w:rsid w:val="00A42431"/>
    <w:rsid w:val="00A42C5E"/>
    <w:rsid w:val="00A43A13"/>
    <w:rsid w:val="00A71273"/>
    <w:rsid w:val="00A71705"/>
    <w:rsid w:val="00A85771"/>
    <w:rsid w:val="00A86527"/>
    <w:rsid w:val="00A93280"/>
    <w:rsid w:val="00A95038"/>
    <w:rsid w:val="00A95F6A"/>
    <w:rsid w:val="00A96E6F"/>
    <w:rsid w:val="00AA1CA9"/>
    <w:rsid w:val="00AA310F"/>
    <w:rsid w:val="00AA4323"/>
    <w:rsid w:val="00AB45D3"/>
    <w:rsid w:val="00AC1824"/>
    <w:rsid w:val="00AC7780"/>
    <w:rsid w:val="00AC7789"/>
    <w:rsid w:val="00AD58C6"/>
    <w:rsid w:val="00AD6BDB"/>
    <w:rsid w:val="00AE7C1A"/>
    <w:rsid w:val="00AF5AAB"/>
    <w:rsid w:val="00B07F1C"/>
    <w:rsid w:val="00B132D5"/>
    <w:rsid w:val="00B21E6D"/>
    <w:rsid w:val="00B2760E"/>
    <w:rsid w:val="00B33C75"/>
    <w:rsid w:val="00B47DD8"/>
    <w:rsid w:val="00B57180"/>
    <w:rsid w:val="00B66255"/>
    <w:rsid w:val="00B66AE4"/>
    <w:rsid w:val="00B77C9E"/>
    <w:rsid w:val="00B81358"/>
    <w:rsid w:val="00B95217"/>
    <w:rsid w:val="00BA28C5"/>
    <w:rsid w:val="00BC4D64"/>
    <w:rsid w:val="00BD341B"/>
    <w:rsid w:val="00BE0218"/>
    <w:rsid w:val="00BE53DB"/>
    <w:rsid w:val="00BE5873"/>
    <w:rsid w:val="00BF4E2F"/>
    <w:rsid w:val="00BF655E"/>
    <w:rsid w:val="00BF6831"/>
    <w:rsid w:val="00C11162"/>
    <w:rsid w:val="00C11C7E"/>
    <w:rsid w:val="00C30CAB"/>
    <w:rsid w:val="00C312C9"/>
    <w:rsid w:val="00C32DD6"/>
    <w:rsid w:val="00C3728C"/>
    <w:rsid w:val="00C4463F"/>
    <w:rsid w:val="00C65461"/>
    <w:rsid w:val="00C75177"/>
    <w:rsid w:val="00C827E8"/>
    <w:rsid w:val="00C97C86"/>
    <w:rsid w:val="00CA1BC0"/>
    <w:rsid w:val="00CA2FB8"/>
    <w:rsid w:val="00CF686A"/>
    <w:rsid w:val="00D00F23"/>
    <w:rsid w:val="00D04170"/>
    <w:rsid w:val="00D062D8"/>
    <w:rsid w:val="00D152C0"/>
    <w:rsid w:val="00D22A73"/>
    <w:rsid w:val="00D5104E"/>
    <w:rsid w:val="00D5472C"/>
    <w:rsid w:val="00D57D03"/>
    <w:rsid w:val="00D63B1D"/>
    <w:rsid w:val="00D77C82"/>
    <w:rsid w:val="00D850D6"/>
    <w:rsid w:val="00D8559F"/>
    <w:rsid w:val="00D93457"/>
    <w:rsid w:val="00D94020"/>
    <w:rsid w:val="00DA0C2E"/>
    <w:rsid w:val="00DA4AC3"/>
    <w:rsid w:val="00DA69A5"/>
    <w:rsid w:val="00DB427A"/>
    <w:rsid w:val="00DB5DF7"/>
    <w:rsid w:val="00DC4AA5"/>
    <w:rsid w:val="00DD21A6"/>
    <w:rsid w:val="00DD509B"/>
    <w:rsid w:val="00DE2FD1"/>
    <w:rsid w:val="00DE3CBE"/>
    <w:rsid w:val="00DE45E5"/>
    <w:rsid w:val="00DE5631"/>
    <w:rsid w:val="00DF54D3"/>
    <w:rsid w:val="00E00A9E"/>
    <w:rsid w:val="00E01C11"/>
    <w:rsid w:val="00E0296B"/>
    <w:rsid w:val="00E05C2E"/>
    <w:rsid w:val="00E06120"/>
    <w:rsid w:val="00E174A7"/>
    <w:rsid w:val="00E21BCA"/>
    <w:rsid w:val="00E24E32"/>
    <w:rsid w:val="00E47136"/>
    <w:rsid w:val="00E47811"/>
    <w:rsid w:val="00E478EC"/>
    <w:rsid w:val="00E66769"/>
    <w:rsid w:val="00E70D8B"/>
    <w:rsid w:val="00E72EE8"/>
    <w:rsid w:val="00E7351E"/>
    <w:rsid w:val="00E932D2"/>
    <w:rsid w:val="00EA058E"/>
    <w:rsid w:val="00EA1770"/>
    <w:rsid w:val="00EA2ECF"/>
    <w:rsid w:val="00EB0ECA"/>
    <w:rsid w:val="00EB4B5B"/>
    <w:rsid w:val="00EC6FEB"/>
    <w:rsid w:val="00ED14B4"/>
    <w:rsid w:val="00ED1F8A"/>
    <w:rsid w:val="00ED532A"/>
    <w:rsid w:val="00ED7981"/>
    <w:rsid w:val="00EE0135"/>
    <w:rsid w:val="00EE383E"/>
    <w:rsid w:val="00EE3900"/>
    <w:rsid w:val="00EE3C6F"/>
    <w:rsid w:val="00EF5213"/>
    <w:rsid w:val="00F0405E"/>
    <w:rsid w:val="00F06088"/>
    <w:rsid w:val="00F07E8E"/>
    <w:rsid w:val="00F175A5"/>
    <w:rsid w:val="00F23DC0"/>
    <w:rsid w:val="00F2593C"/>
    <w:rsid w:val="00F2742A"/>
    <w:rsid w:val="00F30E6F"/>
    <w:rsid w:val="00F44F39"/>
    <w:rsid w:val="00F52895"/>
    <w:rsid w:val="00F57BD4"/>
    <w:rsid w:val="00F63DE9"/>
    <w:rsid w:val="00F65905"/>
    <w:rsid w:val="00F739CA"/>
    <w:rsid w:val="00F740F6"/>
    <w:rsid w:val="00F81CD9"/>
    <w:rsid w:val="00F82A85"/>
    <w:rsid w:val="00F85991"/>
    <w:rsid w:val="00FA21D4"/>
    <w:rsid w:val="00FA32D1"/>
    <w:rsid w:val="00FB54BD"/>
    <w:rsid w:val="00FF2FF8"/>
    <w:rsid w:val="00FF3937"/>
    <w:rsid w:val="00FF5090"/>
    <w:rsid w:val="00FF59A5"/>
    <w:rsid w:val="113361A3"/>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semiHidden="0" w:name="caption"/>
    <w:lsdException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si-LK"/>
    </w:rPr>
  </w:style>
  <w:style w:type="paragraph" w:styleId="2">
    <w:name w:val="heading 1"/>
    <w:basedOn w:val="1"/>
    <w:next w:val="1"/>
    <w:link w:val="23"/>
    <w:qFormat/>
    <w:uiPriority w:val="9"/>
    <w:pPr>
      <w:keepNext/>
      <w:keepLines/>
      <w:spacing w:before="480" w:after="0" w:line="480" w:lineRule="auto"/>
      <w:jc w:val="center"/>
      <w:outlineLvl w:val="0"/>
    </w:pPr>
    <w:rPr>
      <w:rFonts w:ascii="Times New Roman" w:hAnsi="Times New Roman" w:eastAsiaTheme="majorEastAsia" w:cstheme="majorBidi"/>
      <w:b/>
      <w:bCs/>
      <w:color w:val="254061" w:themeColor="accent1" w:themeShade="80"/>
      <w:sz w:val="28"/>
      <w:szCs w:val="28"/>
    </w:rPr>
  </w:style>
  <w:style w:type="paragraph" w:styleId="3">
    <w:name w:val="heading 2"/>
    <w:basedOn w:val="1"/>
    <w:next w:val="1"/>
    <w:link w:val="24"/>
    <w:unhideWhenUsed/>
    <w:qFormat/>
    <w:uiPriority w:val="9"/>
    <w:pPr>
      <w:keepNext/>
      <w:keepLines/>
      <w:spacing w:before="200" w:after="0" w:line="360" w:lineRule="auto"/>
      <w:outlineLvl w:val="1"/>
    </w:pPr>
    <w:rPr>
      <w:rFonts w:ascii="Times New Roman" w:hAnsi="Times New Roman" w:eastAsiaTheme="majorEastAsia" w:cstheme="majorBidi"/>
      <w:b/>
      <w:bCs/>
      <w:color w:val="0D0D0D" w:themeColor="text1" w:themeTint="F2"/>
      <w:sz w:val="26"/>
      <w:szCs w:val="26"/>
      <w14:textFill>
        <w14:solidFill>
          <w14:schemeClr w14:val="tx1">
            <w14:lumMod w14:val="95000"/>
            <w14:lumOff w14:val="5000"/>
          </w14:schemeClr>
        </w14:solidFill>
      </w14:textFill>
    </w:rPr>
  </w:style>
  <w:style w:type="paragraph" w:styleId="4">
    <w:name w:val="heading 3"/>
    <w:basedOn w:val="1"/>
    <w:next w:val="1"/>
    <w:link w:val="25"/>
    <w:unhideWhenUsed/>
    <w:qFormat/>
    <w:uiPriority w:val="9"/>
    <w:pPr>
      <w:keepNext/>
      <w:keepLines/>
      <w:spacing w:before="200" w:after="0"/>
      <w:outlineLvl w:val="2"/>
    </w:pPr>
    <w:rPr>
      <w:rFonts w:ascii="Times New Roman" w:hAnsi="Times New Roman" w:eastAsiaTheme="majorEastAsia" w:cstheme="majorBidi"/>
      <w:b/>
      <w:bCs/>
      <w:color w:val="000000" w:themeColor="text1"/>
      <w14:textFill>
        <w14:solidFill>
          <w14:schemeClr w14:val="tx1"/>
        </w14:solidFill>
      </w14:textFill>
    </w:rPr>
  </w:style>
  <w:style w:type="character" w:default="1" w:styleId="5">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7">
    <w:name w:val="Balloon Text"/>
    <w:basedOn w:val="1"/>
    <w:link w:val="22"/>
    <w:semiHidden/>
    <w:unhideWhenUsed/>
    <w:uiPriority w:val="99"/>
    <w:pPr>
      <w:spacing w:after="0" w:line="240" w:lineRule="auto"/>
    </w:pPr>
    <w:rPr>
      <w:rFonts w:ascii="Tahoma" w:hAnsi="Tahoma" w:cs="Tahoma"/>
      <w:sz w:val="16"/>
      <w:szCs w:val="16"/>
    </w:rPr>
  </w:style>
  <w:style w:type="paragraph" w:styleId="8">
    <w:name w:val="caption"/>
    <w:basedOn w:val="1"/>
    <w:next w:val="1"/>
    <w:unhideWhenUsed/>
    <w:qFormat/>
    <w:uiPriority w:val="35"/>
    <w:pPr>
      <w:spacing w:line="240" w:lineRule="auto"/>
    </w:pPr>
    <w:rPr>
      <w:b/>
      <w:bCs/>
      <w:color w:val="4F81BD" w:themeColor="accent1"/>
      <w:sz w:val="18"/>
      <w:szCs w:val="18"/>
      <w14:textFill>
        <w14:solidFill>
          <w14:schemeClr w14:val="accent1"/>
        </w14:solidFill>
      </w14:textFill>
    </w:rPr>
  </w:style>
  <w:style w:type="character" w:styleId="9">
    <w:name w:val="endnote reference"/>
    <w:basedOn w:val="5"/>
    <w:semiHidden/>
    <w:unhideWhenUsed/>
    <w:uiPriority w:val="99"/>
    <w:rPr>
      <w:vertAlign w:val="superscript"/>
    </w:rPr>
  </w:style>
  <w:style w:type="paragraph" w:styleId="10">
    <w:name w:val="endnote text"/>
    <w:basedOn w:val="1"/>
    <w:link w:val="31"/>
    <w:semiHidden/>
    <w:unhideWhenUsed/>
    <w:uiPriority w:val="99"/>
    <w:pPr>
      <w:spacing w:after="0" w:line="240" w:lineRule="auto"/>
    </w:pPr>
    <w:rPr>
      <w:sz w:val="20"/>
      <w:szCs w:val="20"/>
    </w:rPr>
  </w:style>
  <w:style w:type="paragraph" w:styleId="11">
    <w:name w:val="footer"/>
    <w:basedOn w:val="1"/>
    <w:link w:val="30"/>
    <w:unhideWhenUsed/>
    <w:uiPriority w:val="99"/>
    <w:pPr>
      <w:tabs>
        <w:tab w:val="center" w:pos="4680"/>
        <w:tab w:val="right" w:pos="9360"/>
      </w:tabs>
      <w:spacing w:after="0" w:line="240" w:lineRule="auto"/>
    </w:pPr>
  </w:style>
  <w:style w:type="paragraph" w:styleId="12">
    <w:name w:val="header"/>
    <w:basedOn w:val="1"/>
    <w:link w:val="29"/>
    <w:unhideWhenUsed/>
    <w:uiPriority w:val="99"/>
    <w:pPr>
      <w:tabs>
        <w:tab w:val="center" w:pos="4680"/>
        <w:tab w:val="right" w:pos="9360"/>
      </w:tabs>
      <w:spacing w:after="0" w:line="240" w:lineRule="auto"/>
    </w:pPr>
  </w:style>
  <w:style w:type="character" w:styleId="13">
    <w:name w:val="Hyperlink"/>
    <w:basedOn w:val="5"/>
    <w:unhideWhenUsed/>
    <w:uiPriority w:val="99"/>
    <w:rPr>
      <w:color w:val="0000FF"/>
      <w:u w:val="single"/>
    </w:rPr>
  </w:style>
  <w:style w:type="paragraph" w:styleId="14">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5">
    <w:name w:val="Strong"/>
    <w:basedOn w:val="5"/>
    <w:qFormat/>
    <w:uiPriority w:val="22"/>
    <w:rPr>
      <w:b/>
      <w:bCs/>
    </w:rPr>
  </w:style>
  <w:style w:type="table" w:styleId="16">
    <w:name w:val="Table Grid"/>
    <w:basedOn w:val="6"/>
    <w:uiPriority w:val="59"/>
    <w:pPr>
      <w:spacing w:after="0" w:line="240" w:lineRule="auto"/>
    </w:pPr>
    <w:rPr>
      <w:lang w:val="en-GB"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17">
    <w:name w:val="table of figures"/>
    <w:basedOn w:val="1"/>
    <w:next w:val="1"/>
    <w:unhideWhenUsed/>
    <w:uiPriority w:val="99"/>
    <w:pPr>
      <w:spacing w:after="0"/>
    </w:pPr>
  </w:style>
  <w:style w:type="paragraph" w:styleId="18">
    <w:name w:val="toc 1"/>
    <w:basedOn w:val="1"/>
    <w:next w:val="1"/>
    <w:unhideWhenUsed/>
    <w:uiPriority w:val="39"/>
    <w:pPr>
      <w:spacing w:after="100"/>
    </w:pPr>
  </w:style>
  <w:style w:type="paragraph" w:styleId="19">
    <w:name w:val="toc 2"/>
    <w:basedOn w:val="1"/>
    <w:next w:val="1"/>
    <w:unhideWhenUsed/>
    <w:uiPriority w:val="39"/>
    <w:pPr>
      <w:spacing w:after="100"/>
      <w:ind w:left="220"/>
    </w:pPr>
  </w:style>
  <w:style w:type="paragraph" w:styleId="20">
    <w:name w:val="toc 3"/>
    <w:basedOn w:val="1"/>
    <w:next w:val="1"/>
    <w:unhideWhenUsed/>
    <w:uiPriority w:val="39"/>
    <w:pPr>
      <w:spacing w:after="100"/>
      <w:ind w:left="440"/>
    </w:pPr>
  </w:style>
  <w:style w:type="character" w:customStyle="1" w:styleId="21">
    <w:name w:val="apple-tab-span"/>
    <w:basedOn w:val="5"/>
    <w:uiPriority w:val="0"/>
  </w:style>
  <w:style w:type="character" w:customStyle="1" w:styleId="22">
    <w:name w:val="Balloon Text Char"/>
    <w:basedOn w:val="5"/>
    <w:link w:val="7"/>
    <w:semiHidden/>
    <w:uiPriority w:val="99"/>
    <w:rPr>
      <w:rFonts w:ascii="Tahoma" w:hAnsi="Tahoma" w:cs="Tahoma"/>
      <w:sz w:val="16"/>
      <w:szCs w:val="16"/>
    </w:rPr>
  </w:style>
  <w:style w:type="character" w:customStyle="1" w:styleId="23">
    <w:name w:val="Heading 1 Char"/>
    <w:basedOn w:val="5"/>
    <w:link w:val="2"/>
    <w:uiPriority w:val="9"/>
    <w:rPr>
      <w:rFonts w:ascii="Times New Roman" w:hAnsi="Times New Roman" w:eastAsiaTheme="majorEastAsia" w:cstheme="majorBidi"/>
      <w:b/>
      <w:bCs/>
      <w:color w:val="254061" w:themeColor="accent1" w:themeShade="80"/>
      <w:sz w:val="28"/>
      <w:szCs w:val="28"/>
    </w:rPr>
  </w:style>
  <w:style w:type="character" w:customStyle="1" w:styleId="24">
    <w:name w:val="Heading 2 Char"/>
    <w:basedOn w:val="5"/>
    <w:link w:val="3"/>
    <w:uiPriority w:val="9"/>
    <w:rPr>
      <w:rFonts w:ascii="Times New Roman" w:hAnsi="Times New Roman" w:eastAsiaTheme="majorEastAsia" w:cstheme="majorBidi"/>
      <w:b/>
      <w:bCs/>
      <w:color w:val="0D0D0D" w:themeColor="text1" w:themeTint="F2"/>
      <w:sz w:val="26"/>
      <w:szCs w:val="26"/>
      <w14:textFill>
        <w14:solidFill>
          <w14:schemeClr w14:val="tx1">
            <w14:lumMod w14:val="95000"/>
            <w14:lumOff w14:val="5000"/>
          </w14:schemeClr>
        </w14:solidFill>
      </w14:textFill>
    </w:rPr>
  </w:style>
  <w:style w:type="character" w:customStyle="1" w:styleId="25">
    <w:name w:val="Heading 3 Char"/>
    <w:basedOn w:val="5"/>
    <w:link w:val="4"/>
    <w:uiPriority w:val="9"/>
    <w:rPr>
      <w:rFonts w:ascii="Times New Roman" w:hAnsi="Times New Roman" w:eastAsiaTheme="majorEastAsia" w:cstheme="majorBidi"/>
      <w:b/>
      <w:bCs/>
      <w:color w:val="000000" w:themeColor="text1"/>
      <w14:textFill>
        <w14:solidFill>
          <w14:schemeClr w14:val="tx1"/>
        </w14:solidFill>
      </w14:textFill>
    </w:rPr>
  </w:style>
  <w:style w:type="paragraph" w:styleId="26">
    <w:name w:val="List Paragraph"/>
    <w:basedOn w:val="1"/>
    <w:qFormat/>
    <w:uiPriority w:val="34"/>
    <w:pPr>
      <w:ind w:left="720"/>
      <w:contextualSpacing/>
    </w:pPr>
  </w:style>
  <w:style w:type="paragraph" w:customStyle="1" w:styleId="27">
    <w:name w:val="Bibliography"/>
    <w:basedOn w:val="1"/>
    <w:next w:val="1"/>
    <w:unhideWhenUsed/>
    <w:uiPriority w:val="37"/>
  </w:style>
  <w:style w:type="paragraph" w:customStyle="1" w:styleId="28">
    <w:name w:val="TOC Heading"/>
    <w:basedOn w:val="2"/>
    <w:next w:val="1"/>
    <w:unhideWhenUsed/>
    <w:qFormat/>
    <w:uiPriority w:val="39"/>
    <w:pPr>
      <w:spacing w:line="276" w:lineRule="auto"/>
      <w:jc w:val="left"/>
      <w:outlineLvl w:val="9"/>
    </w:pPr>
    <w:rPr>
      <w:rFonts w:asciiTheme="majorHAnsi" w:hAnsiTheme="majorHAnsi"/>
      <w:color w:val="376092" w:themeColor="accent1" w:themeShade="BF"/>
      <w:lang w:eastAsia="ja-JP" w:bidi="ar-SA"/>
    </w:rPr>
  </w:style>
  <w:style w:type="character" w:customStyle="1" w:styleId="29">
    <w:name w:val="Header Char"/>
    <w:basedOn w:val="5"/>
    <w:link w:val="12"/>
    <w:uiPriority w:val="99"/>
  </w:style>
  <w:style w:type="character" w:customStyle="1" w:styleId="30">
    <w:name w:val="Footer Char"/>
    <w:basedOn w:val="5"/>
    <w:link w:val="11"/>
    <w:uiPriority w:val="99"/>
  </w:style>
  <w:style w:type="character" w:customStyle="1" w:styleId="31">
    <w:name w:val="Endnote Text Char"/>
    <w:basedOn w:val="5"/>
    <w:link w:val="10"/>
    <w:semiHidden/>
    <w:uiPriority w:val="99"/>
    <w:rPr>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header" Target="header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eventhEdition.xsl" StyleName="APA7" Version="7">
  <b:Source>
    <b:Tag>Pei77</b:Tag>
    <b:SourceType>Book</b:SourceType>
    <b:Guid>{B5611BC0-D02F-4C69-ADC2-B519086E278D}</b:Guid>
    <b:Title>The law of property in Sri Lanka</b:Title>
    <b:Year>1976 - 1977</b:Year>
    <b:Author>
      <b:Author>
        <b:NameList>
          <b:Person>
            <b:Last>Peiris</b:Last>
            <b:First>G.</b:First>
            <b:Middle>L</b:Middle>
          </b:Person>
        </b:NameList>
      </b:Author>
    </b:Author>
    <b:City>Colombo </b:City>
    <b:Publisher>Lake House Investments</b:Publisher>
    <b:RefOrder>3</b:RefOrder>
  </b:Source>
  <b:Source>
    <b:Tag>Alf20</b:Tag>
    <b:SourceType>Book</b:SourceType>
    <b:Guid>{BF3F7F9A-0BBC-4C40-8C29-67CE152CDDC7}</b:Guid>
    <b:Author>
      <b:Author>
        <b:NameList>
          <b:Person>
            <b:Last>Marshall</b:Last>
            <b:First>Alfred</b:First>
          </b:Person>
        </b:NameList>
      </b:Author>
    </b:Author>
    <b:Title>Principles of Economics</b:Title>
    <b:Year>1920 </b:Year>
    <b:City>London</b:City>
    <b:Publisher>Macmillan and Co.</b:Publisher>
    <b:Edition>8th</b:Edition>
    <b:RefOrder>1</b:RefOrder>
  </b:Source>
  <b:Source>
    <b:Tag>Ell19</b:Tag>
    <b:SourceType>ConferenceProceedings</b:SourceType>
    <b:Guid>{F37C24F8-A8DF-49E5-B0AD-A665363FDEA6}</b:Guid>
    <b:Title>Valuation and sale price</b:Title>
    <b:Year>2019</b:Year>
    <b:Publisher>Royal Institution of Chartered Surveyors (RICS)</b:Publisher>
    <b:Author>
      <b:Author>
        <b:NameList>
          <b:Person>
            <b:Last>Scott</b:Last>
            <b:First>Ellie</b:First>
          </b:Person>
        </b:NameList>
      </b:Author>
      <b:Editor>
        <b:NameList>
          <b:Person>
            <b:Last>Moloney</b:Last>
            <b:First>Sarah</b:First>
          </b:Person>
        </b:NameList>
      </b:Editor>
    </b:Author>
    <b:Pages>3</b:Pages>
    <b:City>London</b:City>
    <b:RefOrder>2</b:RefOrder>
  </b:Source>
  <b:Source>
    <b:Tag>The12</b:Tag>
    <b:SourceType>Report</b:SourceType>
    <b:Guid>{6D904E1E-5DE5-41D5-BB5E-44E521F4FDBF}</b:Guid>
    <b:Title>Census of Population and HousingSri Lanka</b:Title>
    <b:Year>2012</b:Year>
    <b:Author>
      <b:Author>
        <b:NameList>
          <b:Person>
            <b:Last>Statistics</b:Last>
            <b:First>The</b:First>
            <b:Middle>Department of Census and</b:Middle>
          </b:Person>
        </b:NameList>
      </b:Author>
    </b:Author>
    <b:Publisher>The Department of Census and Statistics</b:Publisher>
    <b:City>Colombo</b:City>
    <b:RefOrder>41</b:RefOrder>
  </b:Source>
  <b:Source>
    <b:Tag>KPM20</b:Tag>
    <b:SourceType>DocumentFromInternetSite</b:SourceType>
    <b:Guid>{5303D6D4-5CC2-4740-B21A-E33C51440FB2}</b:Guid>
    <b:Title>Paradise Island – Luxury living in the tropics</b:Title>
    <b:Year>2018</b:Year>
    <b:Author>
      <b:Author>
        <b:NameList>
          <b:Person>
            <b:Last>KPMG</b:Last>
          </b:Person>
        </b:NameList>
      </b:Author>
    </b:Author>
    <b:InternetSiteTitle>KPMG Official website</b:InternetSiteTitle>
    <b:YearAccessed>2022</b:YearAccessed>
    <b:MonthAccessed>October</b:MonthAccessed>
    <b:DayAccessed>18</b:DayAccessed>
    <b:RefOrder>4</b:RefOrder>
  </b:Source>
  <b:Source>
    <b:Tag>Dep11</b:Tag>
    <b:SourceType>InternetSite</b:SourceType>
    <b:Guid>{BD8D0049-2270-4D4A-9E62-B46DD684DBC2}</b:Guid>
    <b:Author>
      <b:Author>
        <b:NameList>
          <b:Person>
            <b:Last>Statistics</b:Last>
            <b:First>Department</b:First>
            <b:Middle>of Census and</b:Middle>
          </b:Person>
        </b:NameList>
      </b:Author>
    </b:Author>
    <b:Title>Census of Population and Housing 2011</b:Title>
    <b:Year>2011</b:Year>
    <b:YearAccessed>2022</b:YearAccessed>
    <b:MonthAccessed>October</b:MonthAccessed>
    <b:DayAccessed>05</b:DayAccessed>
    <b:URL>http://www.statistics.gov.lk/Population/StaticalInformation/CPH2011</b:URL>
    <b:RefOrder>42</b:RefOrder>
  </b:Source>
  <b:Source>
    <b:Tag>Cen17</b:Tag>
    <b:SourceType>InternetSite</b:SourceType>
    <b:Guid>{DD143567-2C97-41FC-A677-0C4D066666C5}</b:Guid>
    <b:Author>
      <b:Author>
        <b:NameList>
          <b:Person>
            <b:Last>Lanka</b:Last>
            <b:First>Central</b:First>
            <b:Middle>Bank of Sri</b:Middle>
          </b:Person>
        </b:NameList>
      </b:Author>
    </b:Author>
    <b:Title>Condominium Market Survey and Real Estate Property Price Indices</b:Title>
    <b:Year>2017</b:Year>
    <b:YearAccessed>2022</b:YearAccessed>
    <b:MonthAccessed>October</b:MonthAccessed>
    <b:DayAccessed>09</b:DayAccessed>
    <b:URL>https://www.cbsl.gov.lk/en/condominium-market-survey</b:URL>
    <b:RefOrder>5</b:RefOrder>
  </b:Source>
  <b:Source>
    <b:Tag>KPM201</b:Tag>
    <b:SourceType>InternetSite</b:SourceType>
    <b:Guid>{1533D0C0-5FFB-4B60-8090-C9D112FD49FB}</b:Guid>
    <b:Author>
      <b:Author>
        <b:NameList>
          <b:Person>
            <b:Last>KPMG</b:Last>
          </b:Person>
        </b:NameList>
      </b:Author>
    </b:Author>
    <b:Title>Real Estate</b:Title>
    <b:Year>2020</b:Year>
    <b:YearAccessed>2022</b:YearAccessed>
    <b:MonthAccessed>September</b:MonthAccessed>
    <b:DayAccessed>12</b:DayAccessed>
    <b:URL>https://home.kpmg/lk/en/home/industries/real-estate.html</b:URL>
    <b:RefOrder>6</b:RefOrder>
  </b:Source>
  <b:Source>
    <b:Tag>Lan22</b:Tag>
    <b:SourceType>InternetSite</b:SourceType>
    <b:Guid>{EC34EB7A-9483-499C-A5D7-667799CB6EE0}</b:Guid>
    <b:Author>
      <b:Author>
        <b:NameList>
          <b:Person>
            <b:Last>LankaPropertyWeb</b:Last>
          </b:Person>
        </b:NameList>
      </b:Author>
    </b:Author>
    <b:Title>Average property prices of Sri Lanka</b:Title>
    <b:Year>2022</b:Year>
    <b:YearAccessed>2022</b:YearAccessed>
    <b:MonthAccessed>September</b:MonthAccessed>
    <b:DayAccessed>22</b:DayAccessed>
    <b:URL>https://www.lankapropertyweb.com/house_prices.php</b:URL>
    <b:RefOrder>43</b:RefOrder>
  </b:Source>
  <b:Source>
    <b:Tag>cey21</b:Tag>
    <b:SourceType>InternetSite</b:SourceType>
    <b:Guid>{202A9A87-5542-47BA-BB8E-EF329E6D526D}</b:Guid>
    <b:Author>
      <b:Author>
        <b:NameList>
          <b:Person>
            <b:Last>ceylonproperty</b:Last>
          </b:Person>
        </b:NameList>
      </b:Author>
    </b:Author>
    <b:Title>Current Real Estate property Market Condition in Sri Lanka</b:Title>
    <b:Year>2021</b:Year>
    <b:YearAccessed>2022</b:YearAccessed>
    <b:MonthAccessed>October</b:MonthAccessed>
    <b:DayAccessed>3</b:DayAccessed>
    <b:URL>https://ceylonproperty.lk/public/blog/current-real-estate-market-conditions-in-sri-lanka/</b:URL>
    <b:RefOrder>44</b:RefOrder>
  </b:Source>
  <b:Source>
    <b:Tag>SAN16</b:Tag>
    <b:SourceType>JournalArticle</b:SourceType>
    <b:Guid>{848D0AF9-D74A-4B15-9481-7B5778D2503C}</b:Guid>
    <b:Author>
      <b:Author>
        <b:NameList>
          <b:Person>
            <b:Last>SAN</b:Last>
            <b:First>CHIN</b:First>
            <b:Middle>KOK</b:Middle>
          </b:Person>
        </b:NameList>
      </b:Author>
    </b:Author>
    <b:Title>ATTRIBUTES INFLUENCING HOME BUYERS’ PURCHASE DECISION: A STUDY OF RESIDENTIAL PROPERTY IN SETIA ALAM</b:Title>
    <b:JournalName>Universiti Tunku Abdul Rahman</b:JournalName>
    <b:Year>2016</b:Year>
    <b:RefOrder>8</b:RefOrder>
  </b:Source>
  <b:Source>
    <b:Tag>AJZ91</b:Tag>
    <b:SourceType>JournalArticle</b:SourceType>
    <b:Guid>{FD8FE952-9633-4187-BB08-275BBDE4EA2E}</b:Guid>
    <b:Title>The Theory of Planned Behavior</b:Title>
    <b:Pages>179-211</b:Pages>
    <b:Year>1991</b:Year>
    <b:JournalName>ORGANIZATIONAL BEHAVIOR AND HUMAN DECISION PROCESSES </b:JournalName>
    <b:Issue>50</b:Issue>
    <b:Author>
      <b:Author>
        <b:NameList>
          <b:Person>
            <b:Last>AJZEN</b:Last>
            <b:First>ICEK</b:First>
          </b:Person>
        </b:NameList>
      </b:Author>
    </b:Author>
    <b:RefOrder>12</b:RefOrder>
  </b:Source>
  <b:Source>
    <b:Tag>Asi15</b:Tag>
    <b:SourceType>InternetSite</b:SourceType>
    <b:Guid>{8CC61EBE-FA7D-4261-BBFC-849ED8EF2F6A}</b:Guid>
    <b:Title>Income Class Distribution, Developing Asia</b:Title>
    <b:Year>2015</b:Year>
    <b:YearAccessed>2022</b:YearAccessed>
    <b:MonthAccessed>October </b:MonthAccessed>
    <b:DayAccessed>29</b:DayAccessed>
    <b:URL>https://data.adb.org/dataset/income-class-distribution-developing-asia</b:URL>
    <b:Author>
      <b:Author>
        <b:NameList>
          <b:Person>
            <b:Last>Bank</b:Last>
            <b:First>Asian</b:First>
            <b:Middle>Development</b:Middle>
          </b:Person>
        </b:NameList>
      </b:Author>
    </b:Author>
    <b:RefOrder>45</b:RefOrder>
  </b:Source>
  <b:Source>
    <b:Tag>Ban20</b:Tag>
    <b:SourceType>InternetSite</b:SourceType>
    <b:Guid>{166EECC1-7820-4069-A588-4021B1AD70F0}</b:Guid>
    <b:Author>
      <b:Author>
        <b:NameList>
          <b:Person>
            <b:Last>Malaysia</b:Last>
            <b:First>Bank</b:First>
            <b:Middle>Negara</b:Middle>
          </b:Person>
        </b:NameList>
      </b:Author>
    </b:Author>
    <b:Title>Invest in the Malaysian Financial Markets</b:Title>
    <b:Year>2020</b:Year>
    <b:YearAccessed>2022</b:YearAccessed>
    <b:MonthAccessed>October </b:MonthAccessed>
    <b:DayAccessed>11</b:DayAccessed>
    <b:URL>bnm.gov.my/financialmarkets</b:URL>
    <b:RefOrder>46</b:RefOrder>
  </b:Source>
  <b:Source>
    <b:Tag>roc22</b:Tag>
    <b:SourceType>InternetSite</b:SourceType>
    <b:Guid>{B74E8BE4-0D39-4474-A51D-F916C54DF334}</b:Guid>
    <b:Title>How To Get A Mortgage Preapproval</b:Title>
    <b:Year>2022</b:Year>
    <b:Author>
      <b:Author>
        <b:NameList>
          <b:Person>
            <b:Last>rocketmortgage</b:Last>
          </b:Person>
        </b:NameList>
      </b:Author>
    </b:Author>
    <b:YearAccessed>2022</b:YearAccessed>
    <b:MonthAccessed>September</b:MonthAccessed>
    <b:DayAccessed>15</b:DayAccessed>
    <b:URL>https://www.rocketmortgage.com/learn/mortgage-preapproval</b:URL>
    <b:RefOrder>19</b:RefOrder>
  </b:Source>
  <b:Source>
    <b:Tag>LAW22</b:Tag>
    <b:SourceType>DocumentFromInternetSite</b:SourceType>
    <b:Guid>{9C9C7E59-397A-417C-9970-FDD1708CCD94}</b:Guid>
    <b:Title>PREVENTION OF FRAUDS ORDINANCE</b:Title>
    <b:YearAccessed>2022</b:YearAccessed>
    <b:MonthAccessed>October</b:MonthAccessed>
    <b:DayAccessed>20</b:DayAccessed>
    <b:URL>https://www.srilankalaw.lk/Volume-VI/prevention-of-frauds-ordinance.html</b:URL>
    <b:Author>
      <b:Author>
        <b:NameList>
          <b:Person>
            <b:Last>LANKA</b:Last>
            <b:First>LAW</b:First>
            <b:Middle>OF SRI</b:Middle>
          </b:Person>
        </b:NameList>
      </b:Author>
    </b:Author>
    <b:InternetSiteTitle>LAW OF SRI LANKA</b:InternetSiteTitle>
    <b:RefOrder>47</b:RefOrder>
  </b:Source>
  <b:Source>
    <b:Tag>Dep12</b:Tag>
    <b:SourceType>DocumentFromInternetSite</b:SourceType>
    <b:Guid>{B738C3CE-4149-4D18-ABC0-D1E7D8D24645}</b:Guid>
    <b:Title>Census of Population and Housing</b:Title>
    <b:Year>2012</b:Year>
    <b:Author>
      <b:Author>
        <b:NameList>
          <b:Person>
            <b:Last>Planning</b:Last>
            <b:First>Department</b:First>
            <b:Middle>of Census and Statistics - Ministry of Finance and</b:Middle>
          </b:Person>
        </b:NameList>
      </b:Author>
    </b:Author>
    <b:InternetSiteTitle>Department of Census and Statistics - Ministry of Finance and Planning </b:InternetSiteTitle>
    <b:YearAccessed>2022</b:YearAccessed>
    <b:MonthAccessed>November</b:MonthAccessed>
    <b:DayAccessed>2</b:DayAccessed>
    <b:URL>http://www.statistics.gov.lk/pophousat/cph2011/pages/activities/reports/cph_2012_5per_rpt.pdf</b:URL>
    <b:RefOrder>22</b:RefOrder>
  </b:Source>
  <b:Source>
    <b:Tag>Car12</b:Tag>
    <b:SourceType>Book</b:SourceType>
    <b:Guid>{EF0FC3A4-83E6-4200-B80D-0AB89620C0A8}</b:Guid>
    <b:Title>Marketing Research</b:Title>
    <b:Year>2012</b:Year>
    <b:Author>
      <b:Author>
        <b:NameList>
          <b:Person>
            <b:Last>Carl McDaniel</b:Last>
            <b:First>Jr.</b:First>
          </b:Person>
        </b:NameList>
      </b:Author>
    </b:Author>
    <b:City>Texas</b:City>
    <b:Publisher>John Wiley &amp; Sons, Inc</b:Publisher>
    <b:Edition>9th </b:Edition>
    <b:RefOrder>48</b:RefOrder>
  </b:Source>
  <b:Source>
    <b:Tag>Key20</b:Tag>
    <b:SourceType>InternetSite</b:SourceType>
    <b:Guid>{12FE1ED5-54C0-4995-87E7-53FD8673A020}</b:Guid>
    <b:Title>Difference Between Primary and Secondary Data</b:Title>
    <b:Year>2020</b:Year>
    <b:Author>
      <b:Author>
        <b:NameList>
          <b:Person>
            <b:Last>Differences</b:Last>
            <b:First>Key</b:First>
          </b:Person>
        </b:NameList>
      </b:Author>
    </b:Author>
    <b:YearAccessed>2022</b:YearAccessed>
    <b:MonthAccessed>October </b:MonthAccessed>
    <b:DayAccessed>27</b:DayAccessed>
    <b:URL>https://keydifferences.com/difference-between-primary-and-secondary-data.html#:~:text=The%20term%20primary%20data%20refers%20to%20the%20data,data%20is%20one%20which%20relates%20to%20the%20past</b:URL>
    <b:RefOrder>49</b:RefOrder>
  </b:Source>
  <b:Source>
    <b:Tag>BYJ22</b:Tag>
    <b:SourceType>InternetSite</b:SourceType>
    <b:Guid>{B8DB76AE-88EA-4759-A152-E264BF1CC071}</b:Guid>
    <b:Author>
      <b:Author>
        <b:NameList>
          <b:Person>
            <b:Last>BYJU'S</b:Last>
          </b:Person>
        </b:NameList>
      </b:Author>
    </b:Author>
    <b:Title>Meaning and Sources of Secondary Data</b:Title>
    <b:YearAccessed>2022</b:YearAccessed>
    <b:MonthAccessed>November </b:MonthAccessed>
    <b:DayAccessed>1</b:DayAccessed>
    <b:URL>https://byjus.com/commerce/what-is-secondary-data-meaning-and-sources/</b:URL>
    <b:RefOrder>50</b:RefOrder>
  </b:Source>
  <b:Source>
    <b:Tag>Poo19</b:Tag>
    <b:SourceType>JournalArticle</b:SourceType>
    <b:Guid>{43A8F4C3-FDE4-4BD5-88DD-65A6937D61D3}</b:Guid>
    <b:Title>Types of Sampling in Research</b:Title>
    <b:Year>2019</b:Year>
    <b:Author>
      <b:Author>
        <b:NameList>
          <b:Person>
            <b:Last>Bhardwaj</b:Last>
            <b:First>Pooja</b:First>
          </b:Person>
        </b:NameList>
      </b:Author>
    </b:Author>
    <b:JournalName>Journal of the Practice of Cardiovascular Sciences</b:JournalName>
    <b:Volume>5</b:Volume>
    <b:Issue>3</b:Issue>
    <b:RefOrder>51</b:RefOrder>
  </b:Source>
  <b:Source>
    <b:Tag>Cre22</b:Tag>
    <b:SourceType>InternetSite</b:SourceType>
    <b:Guid>{23F9837D-7F39-41B1-94F4-9D9627C3AC62}</b:Guid>
    <b:Title>Sample Size Calculator</b:Title>
    <b:Author>
      <b:Author>
        <b:NameList>
          <b:Person>
            <b:Last>Systems</b:Last>
            <b:First>Creative</b:First>
            <b:Middle>Research</b:Middle>
          </b:Person>
        </b:NameList>
      </b:Author>
    </b:Author>
    <b:YearAccessed>2022</b:YearAccessed>
    <b:MonthAccessed>October</b:MonthAccessed>
    <b:DayAccessed>27</b:DayAccessed>
    <b:URL>https://www.surveysystem.com/sscalc.htm</b:URL>
    <b:RefOrder>24</b:RefOrder>
  </b:Source>
  <b:Source>
    <b:Tag>CEN21</b:Tag>
    <b:SourceType>InternetSite</b:SourceType>
    <b:Guid>{6A281FF1-CA48-45FB-9C5D-05855EBD62EA}</b:Guid>
    <b:Author>
      <b:Author>
        <b:NameList>
          <b:Person>
            <b:Last>2021</b:Last>
            <b:First>CENTRAL</b:First>
            <b:Middle>BANK OF SRI LANKA | ANNUAL REPORT</b:Middle>
          </b:Person>
        </b:NameList>
      </b:Author>
    </b:Author>
    <b:Title>Construction, and Mining and Quarrying</b:Title>
    <b:Year>2021</b:Year>
    <b:YearAccessed>2022</b:YearAccessed>
    <b:MonthAccessed>September</b:MonthAccessed>
    <b:DayAccessed>16</b:DayAccessed>
    <b:URL>https://www.cbsl.gov.lk/sites/default/files/cbslweb_documents/publications/annual_report/2021/en/Full_Text_Volume_I.pdf</b:URL>
    <b:RefOrder>52</b:RefOrder>
  </b:Source>
  <b:Source>
    <b:Tag>scr22</b:Tag>
    <b:SourceType>InternetSite</b:SourceType>
    <b:Guid>{F280E8CE-F79D-442E-B6ED-DF3B5579B22D}</b:Guid>
    <b:Author>
      <b:Author>
        <b:NameList>
          <b:Person>
            <b:Last>scribbr</b:Last>
          </b:Person>
        </b:NameList>
      </b:Author>
    </b:Author>
    <b:Title>What’s the difference between descriptive and inferential statistics?</b:Title>
    <b:YearAccessed>2022</b:YearAccessed>
    <b:MonthAccessed>October</b:MonthAccessed>
    <b:DayAccessed>17</b:DayAccessed>
    <b:URL>https://www.scribbr.com/frequently-asked-questions/whats-the-difference-between-descriptive-and-inferential-statistics/#:~:text=and%20inferential%20statistics%3F-,What's%20the%20difference%20between%20descriptive%20and%20inferential%20statistics%3F,genera</b:URL>
    <b:RefOrder>39</b:RefOrder>
  </b:Source>
  <b:Source>
    <b:Tag>Lyn13</b:Tag>
    <b:SourceType>JournalArticle</b:SourceType>
    <b:Guid>{B29CE1F3-7A0E-454C-BD83-9074E6EBDE91}</b:Guid>
    <b:Title>Demographic data in research studies          </b:Title>
    <b:Year>2013</b:Year>
    <b:Author>
      <b:Author>
        <b:NameList>
          <b:Person>
            <b:Last>Connelly</b:Last>
            <b:First>Lynne</b:First>
            <b:Middle>M.</b:Middle>
          </b:Person>
        </b:NameList>
      </b:Author>
    </b:Author>
    <b:JournalName>Jannetti Publications, Inc.</b:JournalName>
    <b:Volume>22</b:Volume>
    <b:Issue>4</b:Issue>
    <b:RefOrder>53</b:RefOrder>
  </b:Source>
  <b:Source>
    <b:Tag>ECO19</b:Tag>
    <b:SourceType>DocumentFromInternetSite</b:SourceType>
    <b:Guid>{9EA78A47-2479-46E1-8195-709CE4987E4C}</b:Guid>
    <b:Title>Sri Lanka's Graduation to the Upper Middle Income Country Status</b:Title>
    <b:Year>2019</b:Year>
    <b:Author>
      <b:Author>
        <b:NameList>
          <b:Person>
            <b:Last>ECONOMIC</b:Last>
            <b:First>PRICE</b:First>
            <b:Middle>AND FINANCIAL SYSTEM STABILITY, OUTLOOK AND POLICIES</b:Middle>
          </b:Person>
        </b:NameList>
      </b:Author>
    </b:Author>
    <b:InternetSiteTitle>Central Bank Sri Lanka</b:InternetSiteTitle>
    <b:YearAccessed>2022</b:YearAccessed>
    <b:MonthAccessed>November</b:MonthAccessed>
    <b:DayAccessed>03</b:DayAccessed>
    <b:URL>https://www.cbsl.gov.lk/sites/default/files/cbslweb_documents/publications/annual_report/2019/en/13_Box_01.pdf</b:URL>
    <b:RefOrder>54</b:RefOrder>
  </b:Source>
  <b:Source>
    <b:Tag>omn22</b:Tag>
    <b:SourceType>InternetSite</b:SourceType>
    <b:Guid>{36927761-4CB2-4230-A2A5-F0C4B239E5EA}</b:Guid>
    <b:Title>Consumer behavior in marketing – patterns, types, segmentation</b:Title>
    <b:Author>
      <b:Author>
        <b:NameList>
          <b:Person>
            <b:Last>omniconvert</b:Last>
          </b:Person>
        </b:NameList>
      </b:Author>
    </b:Author>
    <b:YearAccessed>2022</b:YearAccessed>
    <b:MonthAccessed>September</b:MonthAccessed>
    <b:DayAccessed>16</b:DayAccessed>
    <b:URL>https://www.omniconvert.com/blog/consumer-behavior-in-marketing-patterns-types-segmentation/</b:URL>
    <b:RefOrder>55</b:RefOrder>
  </b:Source>
  <b:Source>
    <b:Tag>BIS05</b:Tag>
    <b:SourceType>InternetSite</b:SourceType>
    <b:Guid>{A6CA47AE-E2D7-4344-9FF2-56D3C9164532}</b:Guid>
    <b:Author>
      <b:Author>
        <b:NameList>
          <b:Person>
            <b:Last>Papers</b:Last>
            <b:First>BIS</b:First>
          </b:Person>
        </b:NameList>
      </b:Author>
    </b:Author>
    <b:Title>Real estate indicators and financial stability</b:Title>
    <b:Year>2005</b:Year>
    <b:YearAccessed>2022</b:YearAccessed>
    <b:MonthAccessed>October </b:MonthAccessed>
    <b:DayAccessed>23</b:DayAccessed>
    <b:URL>https://www.bis.org/publ/bppdf/bispap21.pdf</b:URL>
    <b:RefOrder>28</b:RefOrder>
  </b:Source>
  <b:Source>
    <b:Tag>Meh16</b:Tag>
    <b:SourceType>ConferenceProceedings</b:SourceType>
    <b:Guid>{A4FAE1B8-EC48-46EE-B941-C4C4D75BAF64}</b:Guid>
    <b:Title>How should we measure residential property prices to inform policy makers?</b:Title>
    <b:Year>2016</b:Year>
    <b:Pages>8-9</b:Pages>
    <b:Author>
      <b:Author>
        <b:NameList>
          <b:Person>
            <b:Last>Mehrhoff</b:Last>
            <b:First>Dr</b:First>
            <b:Middle>Jens</b:Middle>
          </b:Person>
        </b:NameList>
      </b:Author>
      <b:Editor>
        <b:NameList>
          <b:Person>
            <b:Last>Mehrhoff</b:Last>
            <b:First>Jens</b:First>
          </b:Person>
        </b:NameList>
      </b:Editor>
    </b:Author>
    <b:InternetSiteTitle>Deutsche Bundes Bank</b:InternetSiteTitle>
    <b:ConferenceName>8th IFC Conference</b:ConferenceName>
    <b:Publisher>Deutsche Bundesbank</b:Publisher>
    <b:RefOrder>30</b:RefOrder>
  </b:Source>
  <b:Source>
    <b:Tag>Cen20</b:Tag>
    <b:SourceType>InternetSite</b:SourceType>
    <b:Guid>{D9909097-846F-408E-A42C-DAB26486C7DC}</b:Guid>
    <b:Title>Real Estate Market Analysis</b:Title>
    <b:Year>2020</b:Year>
    <b:Author>
      <b:Author>
        <b:NameList>
          <b:Person>
            <b:Last>Lanka</b:Last>
            <b:First>Central</b:First>
            <b:Middle>bank Sri</b:Middle>
          </b:Person>
        </b:NameList>
      </b:Author>
    </b:Author>
    <b:YearAccessed>2022</b:YearAccessed>
    <b:MonthAccessed>October </b:MonthAccessed>
    <b:DayAccessed>18</b:DayAccessed>
    <b:URL>https://www.cbsl.gov.lk/sites/default/files/cbslweb_documents/statistics/real_estate_market_analysis_2022_q1.pdf</b:URL>
    <b:RefOrder>33</b:RefOrder>
  </b:Source>
  <b:Source>
    <b:Tag>Cav16</b:Tag>
    <b:SourceType>DocumentFromInternetSite</b:SourceType>
    <b:Guid>{1794EA5B-123A-45E0-95F0-6F82CA780EBC}</b:Guid>
    <b:Title>Housing Prices, Mortgage Interest Rates and the Rising Share of Capital Income in the United States</b:Title>
    <b:Year>2016</b:Year>
    <b:YearAccessed>2022</b:YearAccessed>
    <b:MonthAccessed>October</b:MonthAccessed>
    <b:DayAccessed>18</b:DayAccessed>
    <b:URL>https://www.bis.org/publ/work572.pdf</b:URL>
    <b:Author>
      <b:Author>
        <b:NameList>
          <b:Person>
            <b:Last>Cava</b:Last>
            <b:First>Gianni</b:First>
            <b:Middle>La</b:Middle>
          </b:Person>
        </b:NameList>
      </b:Author>
    </b:Author>
    <b:JournalName>BIS Papers </b:JournalName>
    <b:InternetSiteTitle>BIS Papers</b:InternetSiteTitle>
    <b:RefOrder>31</b:RefOrder>
  </b:Source>
  <b:Source>
    <b:Tag>Mil04</b:Tag>
    <b:SourceType>ConferenceProceedings</b:SourceType>
    <b:Guid>{AB56729D-4D2A-408E-AEF1-6682A436EFCA}</b:Guid>
    <b:Title>Amplifying Real Estate Value through Energy &amp; Water Management</b:Title>
    <b:Year>2004</b:Year>
    <b:Pages>22-27</b:Pages>
    <b:InternetSiteTitle>Lawrence Berkeley National Laboratory </b:InternetSiteTitle>
    <b:ConferenceName>ACEEE Summer Study on Energy Efficiency in Buildings</b:ConferenceName>
    <b:City>Berkeley, CA 94720 USA</b:City>
    <b:Publisher>Lawrence Berkeley National Laboratory</b:Publisher>
    <b:Author>
      <b:Author>
        <b:NameList>
          <b:Person>
            <b:Last>Mills</b:Last>
            <b:First>Evan</b:First>
          </b:Person>
        </b:NameList>
      </b:Author>
    </b:Author>
    <b:RefOrder>35</b:RefOrder>
  </b:Source>
  <b:Source>
    <b:Tag>Rox16</b:Tag>
    <b:SourceType>JournalArticle</b:SourceType>
    <b:Guid>{067831C8-7D08-4CF8-A81A-8CFA9E040A54}</b:Guid>
    <b:Title>A review of educational attainment measures for social survey research</b:Title>
    <b:Year>2016</b:Year>
    <b:Author>
      <b:Author>
        <b:NameList>
          <b:Person>
            <b:Last>Connelly</b:Last>
            <b:First>Roxanne</b:First>
          </b:Person>
          <b:Person>
            <b:Last>Gayle</b:Last>
            <b:First>Vernon</b:First>
          </b:Person>
          <b:Person>
            <b:Last>Lambert</b:Last>
            <b:First>Paul</b:First>
            <b:Middle>S.</b:Middle>
          </b:Person>
        </b:NameList>
      </b:Author>
    </b:Author>
    <b:JournalName>Methodological Innovations</b:JournalName>
    <b:Volume>9</b:Volume>
    <b:Issue>11</b:Issue>
    <b:RefOrder>56</b:RefOrder>
  </b:Source>
  <b:Source>
    <b:Tag>Taw15</b:Tag>
    <b:SourceType>JournalArticle</b:SourceType>
    <b:Guid>{3161A784-F381-416C-A357-EE839893F074}</b:Guid>
    <b:Title>Behavioral Factors Affecting Real Estate Purchasing</b:Title>
    <b:Year>2015</b:Year>
    <b:Author>
      <b:Author>
        <b:NameList>
          <b:Person>
            <b:Last>Al-Nahdi</b:Last>
            <b:First>Tawfik</b:First>
            <b:Middle>Salah</b:Middle>
          </b:Person>
          <b:Person>
            <b:Last>Ghazzawi</b:Last>
            <b:First>Omar</b:First>
            <b:Middle>Hassan</b:Middle>
          </b:Person>
        </b:NameList>
      </b:Author>
    </b:Author>
    <b:JournalName>International Journal of Business and Social Science</b:JournalName>
    <b:Volume>6</b:Volume>
    <b:Issue>8 (1)</b:Issue>
    <b:RefOrder>57</b:RefOrder>
  </b:Source>
  <b:Source>
    <b:Tag>Taw151</b:Tag>
    <b:SourceType>JournalArticle</b:SourceType>
    <b:Guid>{85ED650F-9ED6-4EAE-844C-F4EE9540636E}</b:Guid>
    <b:Title>Behavioral Factors Affecting Real Estate Purchasing</b:Title>
    <b:Year>2015</b:Year>
    <b:Author>
      <b:Author>
        <b:NameList>
          <b:Person>
            <b:Last>Al-Nahdi</b:Last>
            <b:First>Tawfik</b:First>
            <b:Middle>Salah</b:Middle>
          </b:Person>
          <b:Person>
            <b:Last>Ghazzawi</b:Last>
            <b:First>Omar</b:First>
            <b:Middle>Hassan</b:Middle>
          </b:Person>
          <b:Person>
            <b:Last>Bakar</b:Last>
            <b:First>Abu</b:First>
            <b:Middle>Hassan Abu</b:Middle>
          </b:Person>
        </b:NameList>
      </b:Author>
    </b:Author>
    <b:JournalName>International Journal of Business and Social Science</b:JournalName>
    <b:Volume>6</b:Volume>
    <b:Issue>8 (1)</b:Issue>
    <b:RefOrder>14</b:RefOrder>
  </b:Source>
  <b:Source>
    <b:Tag>Kar15</b:Tag>
    <b:SourceType>JournalArticle</b:SourceType>
    <b:Guid>{9B78C3FF-22E6-4012-A70E-60A62D050968}</b:Guid>
    <b:Author>
      <b:Author>
        <b:NameList>
          <b:Person>
            <b:Last>M.Gibler</b:Last>
            <b:First>Karen</b:First>
          </b:Person>
          <b:Person>
            <b:Last>Nelson</b:Last>
            <b:First>Susan</b:First>
            <b:Middle>L.</b:Middle>
          </b:Person>
        </b:NameList>
      </b:Author>
    </b:Author>
    <b:Title>Consumer Behavior Applications to Real Estate Education</b:Title>
    <b:JournalName>ResearchGate</b:JournalName>
    <b:Year>2015</b:Year>
    <b:RefOrder>58</b:RefOrder>
  </b:Source>
  <b:Source>
    <b:Tag>Jos20</b:Tag>
    <b:SourceType>JournalArticle</b:SourceType>
    <b:Guid>{001FEF01-7B13-4D85-902C-3A45323AFF81}</b:Guid>
    <b:Author>
      <b:Author>
        <b:NameList>
          <b:Person>
            <b:Last>Lee</b:Last>
            <b:First>Jose</b:First>
            <b:Middle>Mari M.</b:Middle>
          </b:Person>
          <b:Person>
            <b:Last>Ong</b:Last>
            <b:First>Eduardo</b:First>
            <b:Middle>G.</b:Middle>
          </b:Person>
        </b:NameList>
      </b:Author>
    </b:Author>
    <b:Title>Consumers’ choice factors for buying residential property in the Philippines</b:Title>
    <b:JournalName>INTERNATIONAL JOURNAL OF RESEARCH IN BUSINESS AND SOCIAL SCIENCE</b:JournalName>
    <b:Year>2020</b:Year>
    <b:Pages>271-276</b:Pages>
    <b:Volume>9</b:Volume>
    <b:Issue>4</b:Issue>
    <b:RefOrder>9</b:RefOrder>
  </b:Source>
  <b:Source>
    <b:Tag>Jos201</b:Tag>
    <b:SourceType>JournalArticle</b:SourceType>
    <b:Guid>{9C8D6AA4-8383-45DB-BEDF-CB6728E9706A}</b:Guid>
    <b:Author>
      <b:Author>
        <b:NameList>
          <b:Person>
            <b:Last>Lee</b:Last>
            <b:First>Jose</b:First>
            <b:Middle>Mari M.</b:Middle>
          </b:Person>
          <b:Person>
            <b:Last>Ong</b:Last>
            <b:First>Eduardo</b:First>
            <b:Middle>G.</b:Middle>
          </b:Person>
        </b:NameList>
      </b:Author>
    </b:Author>
    <b:Title>Consumers’ choice factors for buying residential property in the Philippines</b:Title>
    <b:JournalName>INTERNATIONAL JOURNAL OF RESEARCH IN BUSINESS AND SOCIAL SCIENCE</b:JournalName>
    <b:Year>2020</b:Year>
    <b:Pages>271-276</b:Pages>
    <b:Volume>6</b:Volume>
    <b:Issue>4</b:Issue>
    <b:RefOrder>15</b:RefOrder>
  </b:Source>
  <b:Source>
    <b:Tag>Jia18</b:Tag>
    <b:SourceType>JournalArticle</b:SourceType>
    <b:Guid>{2DCD4B31-87E2-4A08-B2E9-EC55415C25F6}</b:Guid>
    <b:Author>
      <b:Author>
        <b:NameList>
          <b:Person>
            <b:Last>1</b:Last>
            <b:First>Jiangtao</b:First>
            <b:Middle>Li</b:Middle>
          </b:Person>
          <b:Person>
            <b:Last>2</b:Last>
            <b:First>Jianyue</b:First>
            <b:Middle>Ji</b:Middle>
          </b:Person>
          <b:Person>
            <b:Last>Guo</b:Last>
            <b:First>Huiwen</b:First>
          </b:Person>
          <b:Person>
            <b:Last>Chen</b:Last>
            <b:First>and</b:First>
            <b:Middle>Lei</b:Middle>
          </b:Person>
        </b:NameList>
      </b:Author>
    </b:Author>
    <b:Title>Cost and Experience Based Real Estate Estimation Model</b:Title>
    <b:JournalName>MDPI Sustainability</b:JournalName>
    <b:Year>2018</b:Year>
    <b:Volume>10</b:Volume>
    <b:RefOrder>59</b:RefOrder>
  </b:Source>
  <b:Source>
    <b:Tag>Ton18</b:Tag>
    <b:SourceType>JournalArticle</b:SourceType>
    <b:Guid>{9FD8A8A5-7113-455A-AE8A-917FC68252F4}</b:Guid>
    <b:Title>Does where you live influence your socio-economic status?</b:Title>
    <b:Pages>152-160</b:Pages>
    <b:Year>2018</b:Year>
    <b:Author>
      <b:Author>
        <b:NameList>
          <b:Person>
            <b:Last>TonyLockwood</b:Last>
          </b:Person>
          <b:Person>
            <b:Last>TCoffee</b:Last>
            <b:First>Neil</b:First>
          </b:Person>
          <b:Person>
            <b:Last>PeterRossini</b:Last>
          </b:Person>
          <b:Person>
            <b:Last>TheoNiyonsenga</b:Last>
          </b:Person>
          <b:Person>
            <b:Last>StanleyMcGreal</b:Last>
          </b:Person>
        </b:NameList>
      </b:Author>
    </b:Author>
    <b:JournalName>ELSEVIER</b:JournalName>
    <b:Volume>72</b:Volume>
    <b:RefOrder>60</b:RefOrder>
  </b:Source>
  <b:Source>
    <b:Tag>Ste13</b:Tag>
    <b:SourceType>DocumentFromInternetSite</b:SourceType>
    <b:Guid>{A70385EC-F7AB-41C5-954D-4BE514C0E233}</b:Guid>
    <b:Title>Employment and economic class in the developing world</b:Title>
    <b:InternetSiteTitle>International Labour Office</b:InternetSiteTitle>
    <b:ProductionCompany>ILO</b:ProductionCompany>
    <b:Year>2013</b:Year>
    <b:YearAccessed>2022</b:YearAccessed>
    <b:MonthAccessed>September</b:MonthAccessed>
    <b:DayAccessed>16</b:DayAccessed>
    <b:URL>https://www.ilo.org/wcmsp5/groups/public/---dgreports/---inst/documents/publication/wcms_216451.pdf</b:URL>
    <b:Author>
      <b:Author>
        <b:NameList>
          <b:Person>
            <b:Last>Kapsos</b:Last>
            <b:First>Steven</b:First>
          </b:Person>
          <b:Person>
            <b:Last>Bourmpoula</b:Last>
            <b:First>Evangelia</b:First>
          </b:Person>
        </b:NameList>
      </b:Author>
    </b:Author>
    <b:RefOrder>40</b:RefOrder>
  </b:Source>
  <b:Source>
    <b:Tag>Cha21</b:Tag>
    <b:SourceType>JournalArticle</b:SourceType>
    <b:Guid>{D5B68284-B2D0-46C8-B2BE-2E79E415F188}</b:Guid>
    <b:Title>Experimental Research on the Impact of Interest Rate on Real Estate Market Transactions</b:Title>
    <b:Year>2021</b:Year>
    <b:Author>
      <b:Author>
        <b:NameList>
          <b:Person>
            <b:Last>Chen</b:Last>
            <b:First>Chang</b:First>
          </b:Person>
          <b:Person>
            <b:Last>Zhai</b:Last>
            <b:First>Haoyu</b:First>
          </b:Person>
          <b:Person>
            <b:Last>Wang</b:Last>
            <b:First>Zhiruo</b:First>
          </b:Person>
          <b:Person>
            <b:Last>Ma</b:Last>
            <b:First>Shen</b:First>
          </b:Person>
          <b:Person>
            <b:Last>Sun</b:Last>
            <b:First>Jie</b:First>
          </b:Person>
          <b:Person>
            <b:Last>Wu</b:Last>
            <b:First>Chengliang</b:First>
          </b:Person>
          <b:Person>
            <b:Last>Zhang</b:Last>
            <b:First>Yang</b:First>
          </b:Person>
        </b:NameList>
      </b:Author>
    </b:Author>
    <b:JournalName>Hindawi</b:JournalName>
    <b:Pages>14</b:Pages>
    <b:RefOrder>61</b:RefOrder>
  </b:Source>
  <b:Source>
    <b:Tag>Yog18</b:Tag>
    <b:SourceType>JournalArticle</b:SourceType>
    <b:Guid>{6905A634-D027-406D-9532-7E77FEA56ECF}</b:Guid>
    <b:Author>
      <b:Author>
        <b:NameList>
          <b:Person>
            <b:Last>Kumar</b:Last>
            <b:First>Yogesh</b:First>
          </b:Person>
          <b:Person>
            <b:Last>Khandelwal</b:Last>
            <b:First>Utkal</b:First>
          </b:Person>
        </b:NameList>
      </b:Author>
    </b:Author>
    <b:Title>Factors Affecting Buying Behaviour in the Purchase of Residential Property: A Factor Analysis Approach</b:Title>
    <b:JournalName>International Journal on Customer Relations</b:JournalName>
    <b:Year>2018</b:Year>
    <b:Pages>27-32</b:Pages>
    <b:Volume>6</b:Volume>
    <b:Issue>2</b:Issue>
    <b:RefOrder>17</b:RefOrder>
  </b:Source>
  <b:Source>
    <b:Tag>Mał12</b:Tag>
    <b:SourceType>JournalArticle</b:SourceType>
    <b:Guid>{DDAD44B2-09EA-4AD1-8AEC-E5C6B80CEF0B}</b:Guid>
    <b:Author>
      <b:Author>
        <b:NameList>
          <b:Person>
            <b:Last>Rymarzak</b:Last>
            <b:First>Małgorzata</b:First>
          </b:Person>
          <b:Person>
            <b:Last>Siemin´ska</b:Last>
            <b:First>Ewa</b:First>
          </b:Person>
        </b:NameList>
      </b:Author>
    </b:Author>
    <b:Title>Factors affecting the location of real estate</b:Title>
    <b:JournalName>Emerald Insight</b:JournalName>
    <b:Year>2012</b:Year>
    <b:Pages>214 - 225</b:Pages>
    <b:Volume>14</b:Volume>
    <b:Issue>4</b:Issue>
    <b:RefOrder>62</b:RefOrder>
  </b:Source>
  <b:Source>
    <b:Tag>Rat20</b:Tag>
    <b:SourceType>ConferenceProceedings</b:SourceType>
    <b:Guid>{1E404315-F5D0-4B49-AA71-F5C0C3DDAAAC}</b:Guid>
    <b:Title>FACTORS AFFECTING TO BUYING DECISION OF MIDDLE-INCOME HOUSE BUYERS: STUDY ON SELECTED MIDDLE-INCOME HOUSE PROJECTS IN</b:Title>
    <b:Year>2020</b:Year>
    <b:Publisher>International Conference on Real Estate Management and Valuation (ICREMV):2020</b:Publisher>
    <b:City>Colombo</b:City>
    <b:Author>
      <b:Author>
        <b:NameList>
          <b:Person>
            <b:Last>R.M.K.B</b:Last>
            <b:First>Rathnayaka</b:First>
          </b:Person>
          <b:Person>
            <b:Last>R.G</b:Last>
            <b:First>Ariyawansa</b:First>
          </b:Person>
          <b:Person>
            <b:Last>Delipa</b:Last>
            <b:First>Endagamage</b:First>
          </b:Person>
        </b:NameList>
      </b:Author>
    </b:Author>
    <b:ConferenceName>International Conference on Real Estate Management and Valuation (ICREMV):2020</b:ConferenceName>
    <b:RefOrder>7</b:RefOrder>
  </b:Source>
  <b:Source>
    <b:Tag>AAN11</b:Tag>
    <b:SourceType>JournalArticle</b:SourceType>
    <b:Guid>{66C7D287-CD61-4728-8DF8-53C3D5A87B31}</b:Guid>
    <b:Author>
      <b:Author>
        <b:NameList>
          <b:Person>
            <b:Last>Akmar</b:Last>
            <b:First>A.A.</b:First>
            <b:Middle>Nor</b:Middle>
          </b:Person>
          <b:Person>
            <b:Last>Konijnendijk</b:Last>
            <b:First>C.C.</b:First>
          </b:Person>
          <b:Person>
            <b:Last>Sreetheran</b:Last>
            <b:First>M.</b:First>
          </b:Person>
          <b:Person>
            <b:Last>Nilsson</b:Last>
            <b:First>K.</b:First>
          </b:Person>
        </b:NameList>
      </b:Author>
    </b:Author>
    <b:Title>Greenspace Planning and Management in Klang Valley, Peninsular Malaysia</b:Title>
    <b:JournalName>Arboriculture &amp; Urban Forestry</b:JournalName>
    <b:Year>2011</b:Year>
    <b:Pages>99–107</b:Pages>
    <b:Volume>37</b:Volume>
    <b:Issue>3</b:Issue>
    <b:RefOrder>63</b:RefOrder>
  </b:Source>
  <b:Source>
    <b:Tag>MAR21</b:Tag>
    <b:SourceType>DocumentFromInternetSite</b:SourceType>
    <b:Guid>{3AF3EE64-D52E-4804-B741-76292AB4EA85}</b:Guid>
    <b:Title>Hedonic Pricing: Definition, How the Model Is Used, and Example</b:Title>
    <b:Year>2021</b:Year>
    <b:YearAccessed>2022</b:YearAccessed>
    <b:MonthAccessed>September</b:MonthAccessed>
    <b:DayAccessed>05</b:DayAccessed>
    <b:URL>https://www.investopedia.com/terms/h/hedonicpricing.asp</b:URL>
    <b:Author>
      <b:Author>
        <b:NameList>
          <b:Person>
            <b:Last>HARGRAVE</b:Last>
            <b:First>MARSHALL</b:First>
          </b:Person>
          <b:Person>
            <b:Last>BROCK</b:Last>
            <b:First>THOMAS</b:First>
          </b:Person>
        </b:NameList>
      </b:Author>
    </b:Author>
    <b:InternetSiteTitle>investopedia</b:InternetSiteTitle>
    <b:RefOrder>11</b:RefOrder>
  </b:Source>
  <b:Source>
    <b:Tag>Giu11</b:Tag>
    <b:SourceType>JournalArticle</b:SourceType>
    <b:Guid>{E0A9243A-5E20-41F3-803D-FA0ADAC066BB}</b:Guid>
    <b:Title>Housing Affordability and Methodological Principles: An Application</b:Title>
    <b:Year>2011</b:Year>
    <b:Author>
      <b:Author>
        <b:NameList>
          <b:Person>
            <b:Last>Torluccio</b:Last>
            <b:First>Giuseppe</b:First>
          </b:Person>
          <b:Person>
            <b:Last>Dorakh</b:Last>
            <b:First>Alena</b:First>
          </b:Person>
        </b:NameList>
      </b:Author>
    </b:Author>
    <b:JournalName>International Research Journal of Finance and Economics</b:JournalName>
    <b:Issue>79</b:Issue>
    <b:RefOrder>64</b:RefOrder>
  </b:Source>
  <b:Source>
    <b:Tag>Car</b:Tag>
    <b:SourceType>Book</b:SourceType>
    <b:Guid>{65713410-35BF-4FEA-990F-F390CBF9CCCA}</b:Guid>
    <b:Title>Information Rules</b:Title>
    <b:Author>
      <b:Author>
        <b:NameList>
          <b:Person>
            <b:Last>Shapiro</b:Last>
            <b:First>Carl</b:First>
          </b:Person>
          <b:Person>
            <b:Last>Varian</b:Last>
            <b:First>Hal</b:First>
            <b:Middle>R.</b:Middle>
          </b:Person>
        </b:NameList>
      </b:Author>
    </b:Author>
    <b:City>BOSTON, MASSACHUSETTS</b:City>
    <b:Publisher>HARVARD BUSINESS SCHOOL PRESS</b:Publisher>
    <b:RefOrder>13</b:RefOrder>
  </b:Source>
  <b:Source>
    <b:Tag>Hem18</b:Tag>
    <b:SourceType>JournalArticle</b:SourceType>
    <b:Guid>{E7BAC995-EFC0-49E1-81B9-AD6C8817AE59}</b:Guid>
    <b:Title>Investment Decisions in Real Estate: A Theory of Planned Behavior (TPB) Based Approach</b:Title>
    <b:Year>2018</b:Year>
    <b:Author>
      <b:Author>
        <b:NameList>
          <b:Person>
            <b:Last>Ramasubbian</b:Last>
            <b:First>Hemavathy</b:First>
          </b:Person>
          <b:Person>
            <b:Last>Priyadarsini</b:Last>
            <b:First>Kirupa</b:First>
          </b:Person>
          <b:Person>
            <b:Last>Vasuki</b:Last>
            <b:First>M</b:First>
          </b:Person>
        </b:NameList>
      </b:Author>
    </b:Author>
    <b:JournalName>International Journal of Pure and Applied Mathematics</b:JournalName>
    <b:Volume>119</b:Volume>
    <b:Issue>17</b:Issue>
    <b:RefOrder>23</b:RefOrder>
  </b:Source>
  <b:Source>
    <b:Tag>Nis21</b:Tag>
    <b:SourceType>JournalArticle</b:SourceType>
    <b:Guid>{C8C4860E-A9F0-4D89-A8B9-235B2BDFB920}</b:Guid>
    <b:Title>Key determinants of time on the market: an analysis of residential housing market in Sri Lanka</b:Title>
    <b:Year>2021</b:Year>
    <b:Author>
      <b:Author>
        <b:NameList>
          <b:Person>
            <b:Last>Wickramaarachchi</b:Last>
            <b:First>Nishani</b:First>
            <b:Middle>Champika</b:Middle>
          </b:Person>
          <b:Person>
            <b:Last>Chandani</b:Last>
            <b:First>Seetha</b:First>
            <b:Middle>Kusum</b:Middle>
          </b:Person>
          <b:Person>
            <b:Last>Thilini</b:Last>
            <b:First>Malka</b:First>
          </b:Person>
        </b:NameList>
      </b:Author>
    </b:Author>
    <b:JournalName>International Journal of Housing Markets and Analysis</b:JournalName>
    <b:Pages>913-935</b:Pages>
    <b:Volume>14</b:Volume>
    <b:Issue>5</b:Issue>
    <b:RefOrder>20</b:RefOrder>
  </b:Source>
  <b:Source>
    <b:Tag>TAE05</b:Tag>
    <b:SourceType>JournalArticle</b:SourceType>
    <b:Guid>{7E689924-D62B-4C1C-A2FF-F23E498CE377}</b:Guid>
    <b:Author>
      <b:Author>
        <b:NameList>
          <b:Person>
            <b:Last>KIM</b:Last>
            <b:First>TAE-KYUNG</b:First>
          </b:Person>
          <b:Person>
            <b:Last>HORNER</b:Last>
            <b:First>MARK</b:First>
            <b:Middle>W.</b:Middle>
          </b:Person>
          <b:Person>
            <b:Last>MARANS</b:Last>
            <b:First>ROBERT</b:First>
            <b:Middle>W.</b:Middle>
          </b:Person>
        </b:NameList>
      </b:Author>
    </b:Author>
    <b:Title>Life Cycle and Environmental Factors in Selecting Residential and Job Locations</b:Title>
    <b:JournalName>Housing Studies</b:JournalName>
    <b:Year>2005</b:Year>
    <b:Pages>457–473</b:Pages>
    <b:Volume>20</b:Volume>
    <b:Issue>3</b:Issue>
    <b:RefOrder>18</b:RefOrder>
  </b:Source>
  <b:Source>
    <b:Tag>Eri09</b:Tag>
    <b:SourceType>Book</b:SourceType>
    <b:Guid>{C76E7865-9563-43E1-AF7A-3229EEDE9D40}</b:Guid>
    <b:Title>Modern Methods of Valuation</b:Title>
    <b:Year>2009</b:Year>
    <b:City>LONDON AND NEW YORK</b:City>
    <b:Publisher>Routledge Taylor&amp;FrancisCroup</b:Publisher>
    <b:Edition>11th</b:Edition>
    <b:Author>
      <b:Author>
        <b:NameList>
          <b:Person>
            <b:Last>Shapiro</b:Last>
            <b:First>Eric</b:First>
          </b:Person>
          <b:Person>
            <b:Last>Mackmin</b:Last>
            <b:First>David</b:First>
          </b:Person>
          <b:Person>
            <b:Last>Sams</b:Last>
            <b:First>Gary</b:First>
          </b:Person>
        </b:NameList>
      </b:Author>
    </b:Author>
    <b:RefOrder>65</b:RefOrder>
  </b:Source>
  <b:Source>
    <b:Tag>Ena15</b:Tag>
    <b:SourceType>ConferenceProceedings</b:SourceType>
    <b:Guid>{8225C0F9-F7F0-46C7-BC30-2BD6E51CC6E2}</b:Guid>
    <b:Author>
      <b:Author>
        <b:NameList>
          <b:Person>
            <b:Last>Shaqra'a</b:Last>
            <b:First>Enas</b:First>
            <b:Middle>Ahmed Abdulla</b:Middle>
          </b:Person>
          <b:Person>
            <b:Last>Badarulzaman</b:Last>
            <b:First>Nurwati</b:First>
          </b:Person>
          <b:Person>
            <b:Last>Roosli</b:Last>
            <b:First>Ruhizal</b:First>
          </b:Person>
        </b:NameList>
      </b:Author>
    </b:Author>
    <b:Title>Residents’ Perception of the Affordability of Private Housing Schemes: Lessons from Aden, Yemen</b:Title>
    <b:Year>2015</b:Year>
    <b:Pages>389 – 399</b:Pages>
    <b:ConferenceName>ASEAN-Turkey ASLI (Annual Serial Landmark International) Conference on Quality of Life</b:ConferenceName>
    <b:City>Istanbul, Turkey</b:City>
    <b:Publisher>y Elsevier Ltd</b:Publisher>
    <b:RefOrder>10</b:RefOrder>
  </b:Source>
  <b:Source>
    <b:Tag>RGA18</b:Tag>
    <b:SourceType>JournalArticle</b:SourceType>
    <b:Guid>{E4B2AC46-A068-4D38-9571-36B7340CC57C}</b:Guid>
    <b:Author>
      <b:Author>
        <b:NameList>
          <b:Person>
            <b:Last>Ariyawansa</b:Last>
            <b:First>R.</b:First>
            <b:Middle>G.</b:Middle>
          </b:Person>
          <b:Person>
            <b:Last>Perera</b:Last>
            <b:First>M.</b:First>
            <b:Middle>A. N. R. M.</b:Middle>
          </b:Person>
        </b:NameList>
      </b:Author>
    </b:Author>
    <b:Title>Socio-Economic Insight of the Secondary Housing Market in Colombo Suburbs: Seller’s Point of Views</b:Title>
    <b:JournalName>International Journal of Architectural and Environmental Engineering</b:JournalName>
    <b:Year>2018</b:Year>
    <b:Volume>12</b:Volume>
    <b:Issue>10</b:Issue>
    <b:RefOrder>66</b:RefOrder>
  </b:Source>
  <b:Source>
    <b:Tag>Wen03</b:Tag>
    <b:SourceType>JournalArticle</b:SourceType>
    <b:Guid>{C52A6360-F32D-44D7-8107-EC76215369DD}</b:Guid>
    <b:Title>The fiscal deficit and macroeconomic stability in Hong Kong SAR</b:Title>
    <b:Year>2003</b:Year>
    <b:Author>
      <b:Author>
        <b:NameList>
          <b:Person>
            <b:Last>Peng</b:Last>
            <b:First>Wensheng</b:First>
          </b:Person>
          <b:Person>
            <b:Last>Ha</b:Last>
            <b:First>Jiming</b:First>
          </b:Person>
          <b:Person>
            <b:Last>Leung</b:Last>
            <b:First>Cynthia</b:First>
          </b:Person>
          <b:Person>
            <b:Last>Fan</b:Last>
            <b:First>Kelvin</b:First>
          </b:Person>
        </b:NameList>
      </b:Author>
    </b:Author>
    <b:JournalName>BIS Papers</b:JournalName>
    <b:Issue>20</b:Issue>
    <b:RefOrder>67</b:RefOrder>
  </b:Source>
  <b:Source>
    <b:Tag>Roh12</b:Tag>
    <b:SourceType>JournalArticle</b:SourceType>
    <b:Guid>{DD1ECF9B-79DF-450D-B466-63A948250398}</b:Guid>
    <b:Author>
      <b:Author>
        <b:NameList>
          <b:Person>
            <b:Last>Majid</b:Last>
            <b:First>Rohayu</b:First>
          </b:Person>
          <b:Person>
            <b:Last>Said</b:Last>
            <b:First>Rosli</b:First>
          </b:Person>
          <b:Person>
            <b:Last>Daud</b:Last>
            <b:First>Md</b:First>
            <b:Middle>Nasir</b:Middle>
          </b:Person>
        </b:NameList>
      </b:Author>
    </b:Author>
    <b:Title>The Impact Of Buyers’ Demography On Property Purchasing</b:Title>
    <b:JournalName>Journal of Surveying, Construction &amp; Property</b:JournalName>
    <b:Year>2012</b:Year>
    <b:Volume>3</b:Volume>
    <b:Issue>2</b:Issue>
    <b:RefOrder>16</b:RefOrder>
  </b:Source>
  <b:Source>
    <b:Tag>Roh121</b:Tag>
    <b:SourceType>JournalArticle</b:SourceType>
    <b:Guid>{80B5D39E-CF3F-485B-9914-1E9BE4255D33}</b:Guid>
    <b:Author>
      <b:Author>
        <b:NameList>
          <b:Person>
            <b:Last>Majid</b:Last>
            <b:First>Rohayu</b:First>
          </b:Person>
          <b:Person>
            <b:Last>Said</b:Last>
            <b:First>Rosli</b:First>
          </b:Person>
          <b:Person>
            <b:Last>Daud</b:Last>
            <b:First>Md</b:First>
            <b:Middle>Nasir</b:Middle>
          </b:Person>
        </b:NameList>
      </b:Author>
    </b:Author>
    <b:Title>The Impact Of Buyers’ Demography On Property Purchasing</b:Title>
    <b:JournalName>Journal of Surveying, Construction &amp; Property</b:JournalName>
    <b:Year>2012</b:Year>
    <b:Volume>3</b:Volume>
    <b:Issue>2</b:Issue>
    <b:RefOrder>68</b:RefOrder>
  </b:Source>
  <b:Source>
    <b:Tag>Ali14</b:Tag>
    <b:SourceType>JournalArticle</b:SourceType>
    <b:Guid>{A75782EC-4124-46BE-96F9-DAEACC5B1607}</b:Guid>
    <b:Author>
      <b:Author>
        <b:NameList>
          <b:Person>
            <b:Last>Llorca</b:Last>
            <b:First>Alicia</b:First>
          </b:Person>
          <b:Person>
            <b:Last>Fernandez-Duran</b:Last>
            <b:First>Laura</b:First>
          </b:Person>
          <b:Person>
            <b:Last>Valero</b:Last>
            <b:First>S.</b:First>
          </b:Person>
          <b:Person>
            <b:Last>Botti</b:Last>
            <b:First>V.</b:First>
          </b:Person>
        </b:NameList>
      </b:Author>
    </b:Author>
    <b:Title>The impact of location on housing prices: applying the Artificial Neural Network Model as an analytical tool.</b:Title>
    <b:JournalName>ResearchGate</b:JournalName>
    <b:Year>2014</b:Year>
    <b:RefOrder>69</b:RefOrder>
  </b:Source>
  <b:Source>
    <b:Tag>And05</b:Tag>
    <b:SourceType>JournalArticle</b:SourceType>
    <b:Guid>{974470F8-A2DB-490F-B886-B2227FDB7647}</b:Guid>
    <b:Author>
      <b:Author>
        <b:NameList>
          <b:Person>
            <b:Last>Pavlov</b:Last>
            <b:First>Andrey</b:First>
          </b:Person>
          <b:Person>
            <b:Last>Blazenko</b:Last>
            <b:First>George</b:First>
            <b:Middle>W.</b:Middle>
          </b:Person>
        </b:NameList>
      </b:Author>
    </b:Author>
    <b:Title>The Neighborhood Effect of Real Estate Maintenance</b:Title>
    <b:JournalName>The Journal of Real Estate Finance and Economics</b:JournalName>
    <b:Year>2005</b:Year>
    <b:Volume>9</b:Volume>
    <b:RefOrder>70</b:RefOrder>
  </b:Source>
  <b:Source>
    <b:Tag>Jin10</b:Tag>
    <b:SourceType>JournalArticle</b:SourceType>
    <b:Guid>{20AA2281-A4CB-46D3-A26C-246E1D845F3F}</b:Guid>
    <b:Author>
      <b:Author>
        <b:NameList>
          <b:Person>
            <b:Last>Jin-Soo Lee</b:Last>
            <b:First>Li-Tzang</b:First>
            <b:Middle>(Jane) Hsu</b:Middle>
          </b:Person>
          <b:Person>
            <b:Last>Han</b:Last>
            <b:First>Heesup</b:First>
          </b:Person>
          <b:Person>
            <b:Last>Kim</b:Last>
            <b:First>Yunhi</b:First>
          </b:Person>
        </b:NameList>
      </b:Author>
    </b:Author>
    <b:Title>Understanding how consumers view green hotels: how a hotel's green image can influence behavioural intentions</b:Title>
    <b:JournalName>Taylor and Francis</b:JournalName>
    <b:Year>2010</b:Year>
    <b:Pages>901-914</b:Pages>
    <b:Volume>18</b:Volume>
    <b:Issue>7</b:Issue>
    <b:RefOrder>21</b:RefOrder>
  </b:Source>
  <b:Source>
    <b:Tag>Placeholder1</b:Tag>
    <b:SourceType>JournalArticle</b:SourceType>
    <b:Guid>{FAE62875-ECDA-48F8-80E1-B3AF2005BA99}</b:Guid>
    <b:Author>
      <b:Author>
        <b:Corporate>Małgorzata Rymarzak; Ewa Siemin´ska</b:Corporate>
      </b:Author>
    </b:Author>
    <b:Title>Factors affecting the location of real estate</b:Title>
    <b:JournalName>Emerald Insight</b:JournalName>
    <b:Year>2012</b:Year>
    <b:Pages> 214 - 225</b:Pages>
    <b:Volume>14</b:Volume>
    <b:Issue>4</b:Issue>
    <b:RefOrder>25</b:RefOrder>
  </b:Source>
  <b:Source>
    <b:Tag>Placeholder2</b:Tag>
    <b:SourceType>JournalArticle</b:SourceType>
    <b:Guid>{2D608F2D-5148-48D8-9C3C-E65F7FEB9938}</b:Guid>
    <b:Author>
      <b:Author>
        <b:Corporate>Alicia Llorca; Laura Fernandez-Duran; S. Valero; V. Botti</b:Corporate>
      </b:Author>
    </b:Author>
    <b:Title>The impact of location on housing prices: applying the Artificial Neural Network Model as an analytical tool.</b:Title>
    <b:JournalName>ResearchGate</b:JournalName>
    <b:Year>2014</b:Year>
    <b:RefOrder>26</b:RefOrder>
  </b:Source>
  <b:Source>
    <b:Tag>Placeholder3</b:Tag>
    <b:SourceType>JournalArticle</b:SourceType>
    <b:Guid>{98011A60-530F-4C1C-8D00-F00A8BD86671}</b:Guid>
    <b:Author>
      <b:Author>
        <b:Corporate>Andrey Pavlov; George W. Blazenko </b:Corporate>
      </b:Author>
    </b:Author>
    <b:Title>The Neighborhood Effect of Real Estate Maintenance </b:Title>
    <b:JournalName>The Journal of Real Estate Finance and Economics</b:JournalName>
    <b:Year>2005</b:Year>
    <b:Volume>9</b:Volume>
    <b:RefOrder>27</b:RefOrder>
  </b:Source>
  <b:Source>
    <b:Tag>Placeholder4</b:Tag>
    <b:SourceType>JournalArticle</b:SourceType>
    <b:Guid>{FF2C089D-ABB0-4B93-9FC0-E5D6534377FD}</b:Guid>
    <b:Title>The fiscal deficit and macroeconomic stability in Hong Kong SAR </b:Title>
    <b:Year>2003</b:Year>
    <b:Author>
      <b:Author>
        <b:Corporate> Wensheng Peng; Jiming Ha; Cynthia Leung ; Kelvin Fan</b:Corporate>
      </b:Author>
    </b:Author>
    <b:JournalName>BIS Papers</b:JournalName>
    <b:Issue>20</b:Issue>
    <b:RefOrder>29</b:RefOrder>
  </b:Source>
  <b:Source>
    <b:Tag>Placeholder5</b:Tag>
    <b:SourceType>JournalArticle</b:SourceType>
    <b:Guid>{577AC632-5088-4846-9A8D-B5D681E761A9}</b:Guid>
    <b:Title>Experimental Research on the Impact of Interest Rate on Real Estate Market Transactions</b:Title>
    <b:Year>2021</b:Year>
    <b:Author>
      <b:Author>
        <b:Corporate>Chang Chen; Haoyu Zhai; Zhiruo Wang; Shen Ma; Jie Sun; Chengliang Wu;Yang Zhang</b:Corporate>
      </b:Author>
    </b:Author>
    <b:JournalName>Hindawi</b:JournalName>
    <b:Pages>14</b:Pages>
    <b:RefOrder>32</b:RefOrder>
  </b:Source>
  <b:Source>
    <b:Tag>Placeholder6</b:Tag>
    <b:SourceType>JournalArticle</b:SourceType>
    <b:Guid>{33F28251-15E6-4CE4-B446-9146864B44CD}</b:Guid>
    <b:Author>
      <b:Author>
        <b:Corporate>Jiangtao Li 1; Jianyue Ji 2; Huiwen Guo; and Lei Chen</b:Corporate>
      </b:Author>
    </b:Author>
    <b:Title>Cost and Experience Based Real Estate Estimation Model </b:Title>
    <b:JournalName>MDPI Sustainability</b:JournalName>
    <b:Year> 2018</b:Year>
    <b:Volume>10</b:Volume>
    <b:RefOrder>34</b:RefOrder>
  </b:Source>
  <b:Source>
    <b:Tag>Placeholder7</b:Tag>
    <b:SourceType>JournalArticle</b:SourceType>
    <b:Guid>{464BC2A7-B099-42F9-AC18-7EA6A0D86E2A}</b:Guid>
    <b:Title>Does where you live influence your socio-economic status?</b:Title>
    <b:Pages>152-160</b:Pages>
    <b:Year>2018</b:Year>
    <b:Author>
      <b:Author>
        <b:Corporate>TonyLockwood; Neil TCoffee; PeterRossini; TheoNiyonsenga; StanleyMcGreal</b:Corporate>
      </b:Author>
    </b:Author>
    <b:JournalName>ELSEVIER</b:JournalName>
    <b:Volume>72</b:Volume>
    <b:RefOrder>36</b:RefOrder>
  </b:Source>
  <b:Source>
    <b:Tag>Placeholder8</b:Tag>
    <b:SourceType>JournalArticle</b:SourceType>
    <b:Guid>{D2B353FA-7340-4771-ADCB-4CF296C74DAF}</b:Guid>
    <b:Author>
      <b:Author>
        <b:Corporate>R. G. Ariyawansa; M. A. N. R. M. Perera </b:Corporate>
      </b:Author>
    </b:Author>
    <b:Title>Socio-Economic Insight of the Secondary Housing Market in Colombo Suburbs: Seller’s Point of Views </b:Title>
    <b:JournalName>International Journal of Architectural and Environmental Engineering</b:JournalName>
    <b:Year>2018</b:Year>
    <b:Volume>12</b:Volume>
    <b:Issue>10</b:Issue>
    <b:RefOrder>37</b:RefOrder>
  </b:Source>
  <b:Source>
    <b:Tag>Placeholder9</b:Tag>
    <b:SourceType>ConferenceProceedings</b:SourceType>
    <b:Guid>{FD440F99-7656-4F11-9524-6AAE19E79841}</b:Guid>
    <b:Title>FACTORS AFFECTING TO BUYING DECISION OF MIDDLE-INCOME HOUSE BUYERS: STUDY ON SELECTED MIDDLE-INCOME HOUSE PROJECTS IN</b:Title>
    <b:Year>2020</b:Year>
    <b:Publisher>International Conference on Real Estate Management and Valuation (ICREMV):2020</b:Publisher>
    <b:City>Colombo</b:City>
    <b:Author>
      <b:Author>
        <b:Corporate>Rathnayaka R.M.K.B;  Ariyawansa R.G;Endagamage Delipa</b:Corporate>
      </b:Author>
    </b:Author>
    <b:ConferenceName>International Conference on Real Estate Management and Valuation (ICREMV):2020</b:ConferenceName>
    <b:RefOrder>38</b:RefOrder>
  </b:Source>
  <b:Source>
    <b:Tag>Placeholder10</b:Tag>
    <b:SourceType>JournalArticle</b:SourceType>
    <b:Guid>{821E8279-30AC-489A-BD37-A76DCBB799CE}</b:Guid>
    <b:Title>A review of educational attainment measures for social survey research</b:Title>
    <b:Year>2016</b:Year>
    <b:Author>
      <b:Author>
        <b:Corporate>Roxanne Connelly; Vernon Gayle; Paul S. Lambert</b:Corporate>
      </b:Author>
    </b:Author>
    <b:JournalName>Methodological Innovations</b:JournalName>
    <b:Volume>9</b:Volume>
    <b:Issue>11</b:Issue>
    <b:RefOrder>71</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F9C5803-C844-4F56-8E70-FC502BCD3AE0}">
  <ds:schemaRefs/>
</ds:datastoreItem>
</file>

<file path=docProps/app.xml><?xml version="1.0" encoding="utf-8"?>
<Properties xmlns="http://schemas.openxmlformats.org/officeDocument/2006/extended-properties" xmlns:vt="http://schemas.openxmlformats.org/officeDocument/2006/docPropsVTypes">
  <Template>Normal</Template>
  <Pages>25</Pages>
  <Words>5979</Words>
  <Characters>34086</Characters>
  <Lines>284</Lines>
  <Paragraphs>79</Paragraphs>
  <TotalTime>0</TotalTime>
  <ScaleCrop>false</ScaleCrop>
  <LinksUpToDate>false</LinksUpToDate>
  <CharactersWithSpaces>39986</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2023-10-20T07:59:00Z</dcterms:created>
  <dc:creator>Nawodya</dc:creator>
  <cp:lastModifiedBy>Subhashini Weerakkody - Univer</cp:lastModifiedBy>
  <cp:lastPrinted>2023-10-19T10:20:00Z</cp:lastPrinted>
  <dcterms:modified xsi:type="dcterms:W3CDTF">2024-03-26T14:09:35Z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2057-12.2.0.13489</vt:lpwstr>
  </property>
  <property fmtid="{D5CDD505-2E9C-101B-9397-08002B2CF9AE}" pid="3" name="ICV">
    <vt:lpwstr>B3B0AC870396469B8CC2D89FE964D6CE_12</vt:lpwstr>
  </property>
</Properties>
</file>