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b w:val="0"/>
          <w:bCs w:val="0"/>
        </w:rPr>
      </w:pPr>
      <w:r>
        <w:rPr>
          <w:rFonts w:ascii="Times New Roman" w:hAnsi="Times New Roman" w:cs="Times New Roman"/>
          <w:b/>
          <w:bCs/>
          <w:sz w:val="24"/>
          <w:szCs w:val="24"/>
        </w:rPr>
        <w:t xml:space="preserve">The </w:t>
      </w:r>
      <w:commentRangeStart w:id="0"/>
      <w:r>
        <w:rPr>
          <w:rFonts w:ascii="Times New Roman" w:hAnsi="Times New Roman" w:cs="Times New Roman"/>
          <w:b/>
          <w:bCs/>
          <w:sz w:val="24"/>
          <w:szCs w:val="24"/>
        </w:rPr>
        <w:t>Impact of Green Investment on Firm Performance: Evidence from Listed Manufacturing Firms in Sri Lanka</w:t>
      </w:r>
      <w:commentRangeEnd w:id="0"/>
      <w:r>
        <w:rPr>
          <w:rStyle w:val="8"/>
          <w:rFonts w:cs="Latha" w:asciiTheme="minorHAnsi" w:hAnsiTheme="minorHAnsi" w:eastAsiaTheme="minorHAnsi"/>
          <w:spacing w:val="0"/>
          <w:kern w:val="0"/>
        </w:rPr>
        <w:commentReference w:id="0"/>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Helvetica" w:hAnsi="Helvetica" w:eastAsia="Helvetica" w:cs="Helvetica"/>
          <w:b w:val="0"/>
          <w:bCs w:val="0"/>
          <w:i w:val="0"/>
          <w:iCs w:val="0"/>
          <w:caps w:val="0"/>
          <w:color w:val="282828"/>
          <w:spacing w:val="0"/>
          <w:sz w:val="19"/>
          <w:szCs w:val="19"/>
          <w:bdr w:val="none" w:color="auto" w:sz="0" w:space="0"/>
          <w:shd w:val="clear" w:fill="FFFFFF"/>
          <w:lang w:val="en-GB"/>
        </w:rPr>
      </w:pP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Helvetica" w:hAnsi="Helvetica" w:eastAsia="Helvetica" w:cs="Helvetica"/>
          <w:b/>
          <w:bCs/>
          <w:i w:val="0"/>
          <w:iCs w:val="0"/>
          <w:caps w:val="0"/>
          <w:color w:val="282828"/>
          <w:spacing w:val="0"/>
          <w:sz w:val="19"/>
          <w:szCs w:val="19"/>
          <w:bdr w:val="none" w:color="auto" w:sz="0" w:space="0"/>
          <w:shd w:val="clear" w:fill="FFFFFF"/>
          <w:vertAlign w:val="superscript"/>
          <w:lang w:val="en-GB"/>
        </w:rPr>
      </w:pPr>
      <w:r>
        <w:rPr>
          <w:rFonts w:hint="default" w:ascii="Helvetica" w:hAnsi="Helvetica" w:eastAsia="Helvetica" w:cs="Helvetica"/>
          <w:b/>
          <w:bCs/>
          <w:i w:val="0"/>
          <w:iCs w:val="0"/>
          <w:caps w:val="0"/>
          <w:color w:val="282828"/>
          <w:spacing w:val="0"/>
          <w:sz w:val="19"/>
          <w:szCs w:val="19"/>
          <w:bdr w:val="none" w:color="auto" w:sz="0" w:space="0"/>
          <w:shd w:val="clear" w:fill="FFFFFF"/>
          <w:lang w:val="en-GB"/>
        </w:rPr>
        <w:t>P</w:t>
      </w:r>
      <w:r>
        <w:rPr>
          <w:rFonts w:ascii="Helvetica" w:hAnsi="Helvetica" w:eastAsia="Helvetica" w:cs="Helvetica"/>
          <w:b/>
          <w:bCs/>
          <w:i w:val="0"/>
          <w:iCs w:val="0"/>
          <w:caps w:val="0"/>
          <w:color w:val="282828"/>
          <w:spacing w:val="0"/>
          <w:sz w:val="19"/>
          <w:szCs w:val="19"/>
          <w:bdr w:val="none" w:color="auto" w:sz="0" w:space="0"/>
          <w:shd w:val="clear" w:fill="FFFFFF"/>
        </w:rPr>
        <w:t>anchali Kannangara</w:t>
      </w:r>
      <w:r>
        <w:rPr>
          <w:rFonts w:hint="default" w:ascii="Helvetica" w:hAnsi="Helvetica" w:eastAsia="Helvetica" w:cs="Helvetica"/>
          <w:b/>
          <w:bCs/>
          <w:i w:val="0"/>
          <w:iCs w:val="0"/>
          <w:caps w:val="0"/>
          <w:color w:val="282828"/>
          <w:spacing w:val="0"/>
          <w:sz w:val="19"/>
          <w:szCs w:val="19"/>
          <w:bdr w:val="none" w:color="auto" w:sz="0" w:space="0"/>
          <w:shd w:val="clear" w:fill="FFFFFF"/>
          <w:vertAlign w:val="superscript"/>
          <w:lang w:val="en-GB"/>
        </w:rPr>
        <w:t>1</w:t>
      </w:r>
      <w:r>
        <w:rPr>
          <w:rFonts w:hint="default" w:ascii="Helvetica" w:hAnsi="Helvetica" w:eastAsia="Helvetica" w:cs="Helvetica"/>
          <w:b/>
          <w:bCs/>
          <w:i w:val="0"/>
          <w:iCs w:val="0"/>
          <w:caps w:val="0"/>
          <w:color w:val="282828"/>
          <w:spacing w:val="0"/>
          <w:sz w:val="19"/>
          <w:szCs w:val="19"/>
          <w:bdr w:val="none" w:color="auto" w:sz="0" w:space="0"/>
          <w:shd w:val="clear" w:fill="FFFFFF"/>
          <w:lang w:val="en-GB"/>
        </w:rPr>
        <w:t xml:space="preserve"> and </w:t>
      </w:r>
      <w:r>
        <w:rPr>
          <w:rFonts w:hint="default" w:ascii="Helvetica" w:hAnsi="Helvetica" w:eastAsia="Helvetica" w:cs="Helvetica"/>
          <w:b/>
          <w:bCs/>
          <w:i w:val="0"/>
          <w:iCs w:val="0"/>
          <w:caps w:val="0"/>
          <w:color w:val="282828"/>
          <w:spacing w:val="0"/>
          <w:sz w:val="19"/>
          <w:szCs w:val="19"/>
          <w:bdr w:val="none" w:color="auto" w:sz="0" w:space="0"/>
          <w:shd w:val="clear" w:fill="FFFFFF"/>
        </w:rPr>
        <w:t> Kushani Panditharathna</w:t>
      </w:r>
      <w:r>
        <w:rPr>
          <w:rFonts w:hint="default" w:ascii="Helvetica" w:hAnsi="Helvetica" w:eastAsia="Helvetica" w:cs="Helvetica"/>
          <w:b/>
          <w:bCs/>
          <w:i w:val="0"/>
          <w:iCs w:val="0"/>
          <w:caps w:val="0"/>
          <w:color w:val="282828"/>
          <w:spacing w:val="0"/>
          <w:sz w:val="19"/>
          <w:szCs w:val="19"/>
          <w:bdr w:val="none" w:color="auto" w:sz="0" w:space="0"/>
          <w:shd w:val="clear" w:fill="FFFFFF"/>
          <w:vertAlign w:val="superscript"/>
          <w:lang w:val="en-GB"/>
        </w:rPr>
        <w:t>2</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Helvetica" w:hAnsi="Helvetica" w:eastAsia="Helvetica" w:cs="Helvetica"/>
          <w:b/>
          <w:bCs/>
          <w:i w:val="0"/>
          <w:iCs w:val="0"/>
          <w:caps w:val="0"/>
          <w:color w:val="282828"/>
          <w:spacing w:val="0"/>
          <w:sz w:val="19"/>
          <w:szCs w:val="19"/>
          <w:bdr w:val="none" w:color="auto" w:sz="0" w:space="0"/>
          <w:shd w:val="clear" w:fill="FFFFFF"/>
          <w:vertAlign w:val="superscript"/>
          <w:lang w:val="en-GB"/>
        </w:rPr>
      </w:pP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b w:val="0"/>
          <w:bCs w:val="0"/>
        </w:rPr>
      </w:pPr>
      <w:r>
        <w:rPr>
          <w:rFonts w:hint="default" w:ascii="Helvetica" w:hAnsi="Helvetica" w:eastAsia="Helvetica" w:cs="Helvetica"/>
          <w:b w:val="0"/>
          <w:bCs w:val="0"/>
          <w:i w:val="0"/>
          <w:iCs w:val="0"/>
          <w:caps w:val="0"/>
          <w:color w:val="282828"/>
          <w:spacing w:val="0"/>
          <w:sz w:val="19"/>
          <w:szCs w:val="19"/>
          <w:shd w:val="clear" w:fill="FFFFFF"/>
          <w:vertAlign w:val="superscript"/>
          <w:lang w:val="en-GB"/>
        </w:rPr>
        <w:t>1</w:t>
      </w:r>
      <w:r>
        <w:rPr>
          <w:rFonts w:hint="default" w:ascii="Helvetica" w:hAnsi="Helvetica" w:eastAsia="Helvetica" w:cs="Helvetica"/>
          <w:b w:val="0"/>
          <w:bCs w:val="0"/>
          <w:i w:val="0"/>
          <w:iCs w:val="0"/>
          <w:caps w:val="0"/>
          <w:color w:val="282828"/>
          <w:spacing w:val="0"/>
          <w:sz w:val="19"/>
          <w:szCs w:val="19"/>
          <w:shd w:val="clear" w:fill="FFFFFF"/>
        </w:rPr>
        <w:t xml:space="preserve">University Of Kelaniya </w:t>
      </w:r>
      <w:r>
        <w:rPr>
          <w:rFonts w:hint="default" w:ascii="Helvetica" w:hAnsi="Helvetica" w:eastAsia="Helvetica" w:cs="Helvetica"/>
          <w:b w:val="0"/>
          <w:bCs w:val="0"/>
          <w:i w:val="0"/>
          <w:iCs w:val="0"/>
          <w:caps w:val="0"/>
          <w:color w:val="282828"/>
          <w:spacing w:val="0"/>
          <w:sz w:val="19"/>
          <w:szCs w:val="19"/>
          <w:shd w:val="clear" w:fill="FFFFFF"/>
          <w:lang w:val="en-GB"/>
        </w:rPr>
        <w:t>,</w:t>
      </w:r>
      <w:r>
        <w:rPr>
          <w:rFonts w:hint="default" w:ascii="Helvetica" w:hAnsi="Helvetica" w:eastAsia="Helvetica" w:cs="Helvetica"/>
          <w:b w:val="0"/>
          <w:bCs w:val="0"/>
          <w:i w:val="0"/>
          <w:iCs w:val="0"/>
          <w:caps w:val="0"/>
          <w:color w:val="282828"/>
          <w:spacing w:val="0"/>
          <w:sz w:val="19"/>
          <w:szCs w:val="19"/>
          <w:shd w:val="clear" w:fill="FFFFFF"/>
        </w:rPr>
        <w:t>sdpanchali@gmail.com</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pPr>
      <w:r>
        <w:rPr>
          <w:rFonts w:hint="default" w:ascii="Helvetica" w:hAnsi="Helvetica" w:eastAsia="Helvetica" w:cs="Helvetica"/>
          <w:b w:val="0"/>
          <w:bCs w:val="0"/>
          <w:i w:val="0"/>
          <w:iCs w:val="0"/>
          <w:caps w:val="0"/>
          <w:color w:val="282828"/>
          <w:spacing w:val="0"/>
          <w:sz w:val="19"/>
          <w:szCs w:val="19"/>
          <w:shd w:val="clear" w:fill="FFFFFF"/>
          <w:vertAlign w:val="superscript"/>
          <w:lang w:val="en-GB"/>
        </w:rPr>
        <w:t>2</w:t>
      </w:r>
      <w:r>
        <w:rPr>
          <w:rFonts w:hint="default" w:ascii="Helvetica" w:hAnsi="Helvetica" w:eastAsia="Helvetica" w:cs="Helvetica"/>
          <w:b w:val="0"/>
          <w:bCs w:val="0"/>
          <w:i w:val="0"/>
          <w:iCs w:val="0"/>
          <w:caps w:val="0"/>
          <w:color w:val="282828"/>
          <w:spacing w:val="0"/>
          <w:sz w:val="19"/>
          <w:szCs w:val="19"/>
          <w:shd w:val="clear" w:fill="FFFFFF"/>
          <w:vertAlign w:val="superscript"/>
        </w:rPr>
        <w:t> </w:t>
      </w:r>
      <w:r>
        <w:rPr>
          <w:rFonts w:hint="default" w:ascii="Helvetica" w:hAnsi="Helvetica" w:eastAsia="Helvetica" w:cs="Helvetica"/>
          <w:b w:val="0"/>
          <w:bCs w:val="0"/>
          <w:i w:val="0"/>
          <w:iCs w:val="0"/>
          <w:caps w:val="0"/>
          <w:color w:val="282828"/>
          <w:spacing w:val="0"/>
          <w:sz w:val="19"/>
          <w:szCs w:val="19"/>
          <w:bdr w:val="none" w:color="auto" w:sz="0" w:space="0"/>
          <w:shd w:val="clear" w:fill="FFFFFF"/>
        </w:rPr>
        <w:t>University of Kelaniya</w:t>
      </w:r>
      <w:r>
        <w:rPr>
          <w:rFonts w:hint="default" w:ascii="Helvetica" w:hAnsi="Helvetica" w:eastAsia="Helvetica" w:cs="Helvetica"/>
          <w:b w:val="0"/>
          <w:bCs w:val="0"/>
          <w:i w:val="0"/>
          <w:iCs w:val="0"/>
          <w:caps w:val="0"/>
          <w:color w:val="282828"/>
          <w:spacing w:val="0"/>
          <w:sz w:val="19"/>
          <w:szCs w:val="19"/>
          <w:bdr w:val="none" w:color="auto" w:sz="0" w:space="0"/>
          <w:shd w:val="clear" w:fill="FFFFFF"/>
          <w:lang w:val="en-GB"/>
        </w:rPr>
        <w:t xml:space="preserve">, </w:t>
      </w:r>
      <w:r>
        <w:rPr>
          <w:rFonts w:hint="default" w:ascii="Helvetica" w:hAnsi="Helvetica" w:eastAsia="Helvetica" w:cs="Helvetica"/>
          <w:b w:val="0"/>
          <w:bCs w:val="0"/>
          <w:i w:val="0"/>
          <w:iCs w:val="0"/>
          <w:caps w:val="0"/>
          <w:color w:val="282828"/>
          <w:spacing w:val="0"/>
          <w:sz w:val="19"/>
          <w:szCs w:val="19"/>
          <w:bdr w:val="none" w:color="auto" w:sz="0" w:space="0"/>
          <w:shd w:val="clear" w:fill="FFFFFF"/>
        </w:rPr>
        <w:t>kushanimau@kln.ac.l</w:t>
      </w:r>
      <w:r>
        <w:rPr>
          <w:rFonts w:hint="default" w:ascii="Helvetica" w:hAnsi="Helvetica" w:eastAsia="Helvetica" w:cs="Helvetica"/>
          <w:i w:val="0"/>
          <w:iCs w:val="0"/>
          <w:caps w:val="0"/>
          <w:color w:val="282828"/>
          <w:spacing w:val="0"/>
          <w:sz w:val="19"/>
          <w:szCs w:val="19"/>
          <w:bdr w:val="none" w:color="auto" w:sz="0" w:space="0"/>
          <w:shd w:val="clear" w:fill="FFFFFF"/>
        </w:rPr>
        <w:t>k</w:t>
      </w:r>
    </w:p>
    <w:p>
      <w:pPr>
        <w:pStyle w:val="18"/>
        <w:spacing w:line="360" w:lineRule="auto"/>
        <w:jc w:val="center"/>
        <w:rPr>
          <w:rFonts w:ascii="Times New Roman" w:hAnsi="Times New Roman" w:cs="Times New Roman"/>
          <w:b/>
          <w:bCs/>
          <w:sz w:val="24"/>
          <w:szCs w:val="24"/>
        </w:rPr>
      </w:pPr>
      <w:bookmarkStart w:id="2" w:name="_GoBack"/>
      <w:bookmarkEnd w:id="2"/>
    </w:p>
    <w:p>
      <w:pPr>
        <w:spacing w:line="360" w:lineRule="auto"/>
        <w:jc w:val="both"/>
        <w:rPr>
          <w:rFonts w:ascii="Times New Roman" w:hAnsi="Times New Roman" w:cs="Times New Roman"/>
          <w:b/>
          <w:sz w:val="24"/>
          <w:szCs w:val="24"/>
        </w:rPr>
      </w:pPr>
      <w:r>
        <w:rPr>
          <w:rFonts w:ascii="Times New Roman" w:hAnsi="Times New Roman" w:cs="Times New Roman"/>
          <w:b/>
          <w:sz w:val="24"/>
          <w:szCs w:val="24"/>
        </w:rPr>
        <w:t>Abstract</w:t>
      </w:r>
    </w:p>
    <w:p>
      <w:pPr>
        <w:jc w:val="both"/>
        <w:rPr>
          <w:rFonts w:ascii="Times New Roman" w:hAnsi="Times New Roman" w:cs="Times New Roman"/>
        </w:rPr>
      </w:pPr>
      <w:r>
        <w:rPr>
          <w:rFonts w:ascii="Times New Roman" w:hAnsi="Times New Roman" w:cs="Times New Roman"/>
          <w:bCs/>
        </w:rPr>
        <w:t>The purpose of this study is to investigate the influence of green investment on the performance of manufacturing companies in Sri Lanka. This research is motivated by the recognition of the substantial environmental impact stemming from contemporary human activities, with manufacturing companies, in particular, being significant contributors to environmental pollution through their production operations. Three facets of green investment have been identified within the context, encompassing investments in renewable technologies, targeted adoption of energy-efficient technologies, and investments directed towards recyclable and sustainable materials</w:t>
      </w:r>
      <w:r>
        <w:rPr>
          <w:rFonts w:ascii="Times New Roman" w:hAnsi="Times New Roman" w:cs="Times New Roman"/>
        </w:rPr>
        <w:t xml:space="preserve">. The manufacturing companies in Sri Lanka are the population of the study. Manufacturing firms that are listed on the Colombo Stock Exchange </w:t>
      </w:r>
      <w:commentRangeStart w:id="1"/>
      <w:r>
        <w:rPr>
          <w:rFonts w:ascii="Times New Roman" w:hAnsi="Times New Roman" w:cs="Times New Roman"/>
        </w:rPr>
        <w:t xml:space="preserve">has been taken </w:t>
      </w:r>
      <w:commentRangeEnd w:id="1"/>
      <w:r>
        <w:rPr>
          <w:rStyle w:val="8"/>
        </w:rPr>
        <w:commentReference w:id="1"/>
      </w:r>
      <w:r>
        <w:rPr>
          <w:rFonts w:ascii="Times New Roman" w:hAnsi="Times New Roman" w:cs="Times New Roman"/>
        </w:rPr>
        <w:t>as the sample of the study. The annual reports of selected manufacturing companies were referred to collect data green investments and the performance of the companiesThe data collected was subjected to analysis using the STATA software to ascertain the impact of the selected variables on firm performance</w:t>
      </w:r>
      <w:commentRangeStart w:id="2"/>
      <w:r>
        <w:rPr>
          <w:rFonts w:ascii="Times New Roman" w:hAnsi="Times New Roman" w:cs="Times New Roman"/>
        </w:rPr>
        <w:t>.</w:t>
      </w:r>
      <w:commentRangeEnd w:id="2"/>
      <w:r>
        <w:rPr>
          <w:rStyle w:val="8"/>
        </w:rPr>
        <w:commentReference w:id="2"/>
      </w:r>
      <w:r>
        <w:rPr>
          <w:rStyle w:val="8"/>
        </w:rPr>
        <w:commentReference w:id="3"/>
      </w:r>
      <w:r>
        <w:rPr>
          <w:rFonts w:ascii="Times New Roman" w:hAnsi="Times New Roman" w:cs="Times New Roman"/>
        </w:rPr>
        <w:t xml:space="preserve"> </w:t>
      </w:r>
      <w:commentRangeStart w:id="4"/>
      <w:r>
        <w:rPr>
          <w:rFonts w:ascii="Times New Roman" w:hAnsi="Times New Roman" w:cs="Times New Roman"/>
        </w:rPr>
        <w:t>The study findings indicate that selected energy-efficient technologies and investments in renewable technologies have a discernible impact on firm performance. However, it was observed that investments in recyclable and sustainable materials do not exert a statistically significant influence on firm performance.</w:t>
      </w:r>
      <w:commentRangeEnd w:id="4"/>
      <w:r>
        <w:rPr>
          <w:rStyle w:val="8"/>
        </w:rPr>
        <w:commentReference w:id="4"/>
      </w:r>
      <w:r>
        <w:rPr>
          <w:rFonts w:ascii="Times New Roman" w:hAnsi="Times New Roman" w:cs="Times New Roman"/>
        </w:rPr>
        <w:t xml:space="preserve"> </w:t>
      </w:r>
      <w:r>
        <w:rPr>
          <w:rFonts w:ascii="Times New Roman" w:hAnsi="Times New Roman" w:cs="Times New Roman"/>
          <w:bCs/>
        </w:rPr>
        <w:t>Therefore, the results of this study imply the practitioners that more investment in renewable technology and energy-efficient technologies enhances the performance of the firm</w:t>
      </w:r>
      <w:commentRangeStart w:id="5"/>
      <w:r>
        <w:rPr>
          <w:rFonts w:ascii="Times New Roman" w:hAnsi="Times New Roman" w:cs="Times New Roman"/>
          <w:bCs/>
        </w:rPr>
        <w:t>.</w:t>
      </w:r>
      <w:commentRangeEnd w:id="5"/>
      <w:r>
        <w:rPr>
          <w:rFonts w:ascii="Times New Roman" w:hAnsi="Times New Roman" w:cs="Times New Roman"/>
          <w:bCs/>
        </w:rPr>
        <w:commentReference w:id="5"/>
      </w:r>
    </w:p>
    <w:p>
      <w:pPr>
        <w:jc w:val="both"/>
        <w:rPr>
          <w:rFonts w:ascii="Times New Roman" w:hAnsi="Times New Roman" w:cs="Times New Roman"/>
        </w:rPr>
      </w:pPr>
      <w:r>
        <w:rPr>
          <w:rFonts w:ascii="Times New Roman" w:hAnsi="Times New Roman" w:cs="Times New Roman"/>
          <w:b/>
          <w:bCs/>
          <w:i/>
          <w:iCs/>
        </w:rPr>
        <w:t>Keywords:</w:t>
      </w:r>
      <w:r>
        <w:rPr>
          <w:rFonts w:ascii="Times New Roman" w:hAnsi="Times New Roman" w:cs="Times New Roman"/>
        </w:rPr>
        <w:t xml:space="preserve"> </w:t>
      </w:r>
      <w:commentRangeStart w:id="6"/>
      <w:r>
        <w:rPr>
          <w:rFonts w:ascii="Times New Roman" w:hAnsi="Times New Roman" w:cs="Times New Roman"/>
        </w:rPr>
        <w:t>Green investments, Firm Performance, Energy- Efficient Technologies, recyclable &amp; sustainable, Renewable Technologies.</w:t>
      </w:r>
      <w:commentRangeEnd w:id="6"/>
      <w:r>
        <w:rPr>
          <w:rStyle w:val="8"/>
        </w:rPr>
        <w:commentReference w:id="6"/>
      </w:r>
    </w:p>
    <w:p>
      <w:pPr>
        <w:pStyle w:val="2"/>
        <w:spacing w:after="200" w:line="360" w:lineRule="auto"/>
        <w:rPr>
          <w:rFonts w:ascii="Times New Roman" w:hAnsi="Times New Roman" w:cs="Times New Roman"/>
          <w:b/>
          <w:bCs/>
          <w:color w:val="auto"/>
          <w:sz w:val="28"/>
          <w:szCs w:val="28"/>
        </w:rPr>
      </w:pPr>
      <w:commentRangeStart w:id="7"/>
      <w:r>
        <w:rPr>
          <w:rFonts w:ascii="Times New Roman" w:hAnsi="Times New Roman" w:cs="Times New Roman"/>
          <w:b/>
          <w:bCs/>
          <w:color w:val="auto"/>
          <w:sz w:val="28"/>
          <w:szCs w:val="28"/>
        </w:rPr>
        <w:t xml:space="preserve">Introduction </w:t>
      </w:r>
      <w:commentRangeEnd w:id="7"/>
      <w:r>
        <w:rPr>
          <w:rStyle w:val="8"/>
          <w:rFonts w:cs="Latha" w:asciiTheme="minorHAnsi" w:hAnsiTheme="minorHAnsi" w:eastAsiaTheme="minorHAnsi"/>
          <w:color w:val="auto"/>
        </w:rPr>
        <w:commentReference w:id="7"/>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Human activities have recently had a significant influence on the environment, transforming it into a major societal problem. Notably, among these human activities, manufacturing processes have emerged as a substantial source to environmental pollution (Tseng et al., 2019). As a result, manufacturers are attempting to reduce their operations' environmental imprint while also improving their firm's performance. Green investing is one such technique for minimizing negative environmental consequences (Schiopoiu Burlea &amp; Popa, 2013). The growing public knowledge of the negative environmental consequences of corporate activities has prompted modern firms to implement methods to mitigate these effects (Castka &amp; Prajogo, 2013). Sustainable investment, a critical component in this context, has grown significantly during the last decade. Inderst &amp; Spiegel (2022) define this strategy as incorporating economic, social, and governance (ESG) elements into investment decisions, channeling funding to firms working to battle climate change and environmental degradation and upholding corporate social responsibility (Ortas et al., 2013). The incorporation of ESG considerations may have a significant influence on a company's financial worth and stability, driving many organizations to prioritize long-term investment.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Long-term investments are associated with two types of risks: physical risks, which include losses from weather-related disasters and long-term climate change, and transition risk, which includes price fluctuations in stranded assets (e.g., coal and oil) and is linked to economic disruptions during the transition to a lower-carbon economy (Papageorgiou et al., 2019). The International Energy Agency estimates that an astonishing $13.5 trillion investment in low-carbon energy technology would be required by 2035 to reduce emissions. Three major threats to the global economy are climate change, energy shortages, and the financial crisis. To address these difficulties, a strong administration with well-coordinated policies and favorable framework circumstances is required (Padmavathi, 2007). The International Finance Corporation predicts a potential climate-smart investment opportunity of $18 billion for Sri Lanka between 2018 and 2030. Among these prospects is a $2.5 billion renewable energy power production investment, as well as a $8.4 billion Green Buildings investment, both of which correspond with the government's energy conservation policy aims and the country's housing and commercial development requirements.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Green investments are an important aspect of long-term growth among the numerous components of sustainable investment. Climate change mitigation, greenhouse gas emission reduction, biodiversity protection, pollution control, investment in renewable energy, energy efficiency, and eco-friendly supply chains and logistics are all part of these investments (Padmavathi, 2017). Green investments, in essence, imply a company's efforts to address environmental concerns by lowering the negative environmental effect of its activities. Carbon emissions reduction, waste management, pollution reduction, recycling, carbon sequestration, green supply chain and logistics, green packaging, and energy and water efficiency techniques are examples of notable green investment initiatives (Ganda, 2018). Due to the negative environmental effect of globalization and fast industrial expansion, business models have shifted from single-profit (P) paradigms to the Triple P (profit, people, and planet) model in the modern setting (Chariri et al., 2018). Given the tremendous environmental hazard posed by industrial enterprises globally, this transition is of critical importance. As a result, manufacturing companies must thoroughly assess the environmental impact of their manufacturing processes, including raw materials, energy consumption, pollutant emissions, and waste generation, in order to minimize the negative environmental effects of their products and operations (Chariri et al., 2018). Sri Lanka is also dealing with environmental concerns that have worsened during the last few decades. Deforestation, soil erosion, poaching, and urbanization threaten wildlife populations, while mining operations and rising pollution contribute to coastal deterioration. Industrial waste and rubbish contaminate freshwater resources, and emissions from motor vehicles and industry have an influence on air quality in cities such as Colombo (Pushpakumara et. al., 2019). Consequently, the acts of Sri Lankan industrial businesses have constituted a serious danger to the broader environment, with other parties sharing responsibility for environmental issues (Jayasuriya, 2021). Government measures addressing environmental issues exacerbate the additional strain on these groups due to this fact. In response, Sri Lankan manufacturers have made green investments such as rooftop solar panel installations, investments in zero-carbon facilities, strategic waste management systems, and so on. Green investments have developed as a compelling issue in the areas of business and accounting, owing to the change from single-profit (Profit) company models to Triple P (Profit, People, and Planet). Green investments encourage long-term growth due to their significant financial and large-scale requirements. The current study delves into the realm of green investments and their influence on the performance of manufacturing firms in Sri Lanka.</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 this paper, section 2 reviews the theoretical background with empirical studies. Section 3 presents the data with the empirical strategy used in the analysis, and section 4 presents the finding. Finally, concludes the paper in section 5 including discussion and recommendations.</w:t>
      </w:r>
    </w:p>
    <w:p>
      <w:pPr>
        <w:pStyle w:val="2"/>
        <w:spacing w:after="200" w:line="360" w:lineRule="auto"/>
        <w:rPr>
          <w:rFonts w:ascii="Times New Roman" w:hAnsi="Times New Roman" w:cs="Times New Roman"/>
          <w:b/>
          <w:bCs/>
          <w:color w:val="auto"/>
          <w:sz w:val="28"/>
          <w:szCs w:val="28"/>
        </w:rPr>
      </w:pPr>
      <w:commentRangeStart w:id="8"/>
      <w:r>
        <w:rPr>
          <w:rFonts w:ascii="Times New Roman" w:hAnsi="Times New Roman" w:cs="Times New Roman"/>
          <w:b/>
          <w:bCs/>
          <w:color w:val="auto"/>
          <w:sz w:val="28"/>
          <w:szCs w:val="28"/>
        </w:rPr>
        <w:t xml:space="preserve">Literature Review </w:t>
      </w:r>
      <w:commentRangeEnd w:id="8"/>
      <w:r>
        <w:rPr>
          <w:rStyle w:val="8"/>
          <w:rFonts w:cs="Latha" w:asciiTheme="minorHAnsi" w:hAnsiTheme="minorHAnsi" w:eastAsiaTheme="minorHAnsi"/>
          <w:color w:val="auto"/>
        </w:rPr>
        <w:commentReference w:id="8"/>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Today, the most widely accepted theory of sustainable development among economists is the Neoclassical Economics Theory, which is based on marginal analysis. Neoclassical notions of sustainability include the pursuit of high growth prospects or the enhancement of long-term human well-being. Natural capital and generated capital are regarded as perfect equivalents in this view. Natural capital encompasses all resources, renewable and nonrenewable, such as fossil fuels, plant species, and forestry. Created capital, on the other hand, refers to man-made assets. The minimal criteria for sustainability is to keep the overall stock of natural capital at or above its current level. While a smaller natural capital stock may still be viable, future reductions are being approached with caution due to the uncertainty and severe repercussions (Costanza, 1992). Environmental issues are frequently underestimated in neoclassical economic theory and its applications to development initiatives. Environmental concerns are undervalued due to issues in measuring and valuing them, rendering many economic procedures ineffective in addressing environmental difficulties. Ethical investments, socially responsible investments, green investments, and sustainable investments should not be overlooked in financial markets since they are critical components of long-term investment (Tseng, 2019). Hard greening entails reducing emissions in a direct, quantifiable, and measurable manner, which is frequently accomplished through technological investments, renewable energy programs, and structural retrofits. Soft greening, on the other hand, refers to efforts that result in non-quantifiable and non-measurable carbon reductions, such as the elimination of energy subsidies, demand-side management programs, and environmental education (Cordeiro &amp; Sarkis, 1997). According to (Eyraud, 2011), green investments are expenditures undertaken to reduce greenhouse gas and air pollution emissions without having a substantial influence on the production and consumption of non-energy commodities. This includes both public and private investment and has three main components: energy efficiency, carbon capture and sequestration, and low-emission energy supply. a stable financial system with low interest rates, and high fuel prices have demonstrated a boost to green investments. Furthermore, legislative changes, such as the establishment of carbon pricing systems, have a major beneficial influence on green investments. The move from fossil fuels to renewable energy sources, whether for electricity generation (solar, wind, nuclear, or hydropower) or direct energy usage (biofuel), is seen as an important part of green investments. Marquis et al., (2015) offered many metrics and methodologies for assessing the environmental effect of projects or commercial activities. The footprint technique is a major strategy that assesses inputs and output, such as GHG emissions, to assess environmental impact. The environmental effect is quantified using carbon footprints, water footprints, and biodiversity footprints in this method. Firm size, foreign ownership, industry profile, and the frequency of audit committee meetings were found as factors impacting green investment. Interestingly, management accreditation according to ISO 14001 had little influence on green investments. Nonetheless, the analysis demonstrated that green investment improves corporate performance. However, significant limitations were noted, such as the limited sample size and the study of only five critical parameters predicting green investments. Yadav (2016) evaluated the influence of environmental performance on a firm's financial performance using the event study approach. They discovered that enterprises that continually improve their environmental performance had a favourable influence on their market value, indicating increasing investor expectations. The study also emphasized the importance of overcoming environmental harm to improve environmental performance. </w:t>
      </w:r>
      <w:r>
        <w:rPr>
          <w:rFonts w:ascii="Times New Roman" w:hAnsi="Times New Roman" w:cs="Times New Roman"/>
          <w:sz w:val="24"/>
          <w:szCs w:val="24"/>
        </w:rPr>
        <w:t>Marquis et al., (2015) looked at the link between a company's financial success and its environmental commitment in the food and beverage supply chain. According to the findings, higher-ranked corporations in the annual Newsweek Green Rankings beat lower-ranked enterprises in terms of financial success. A significant association was also found between financial success and green measures. However, the study stressed the importance of corporations becoming green pioneers, as such investments need long-term commitment and realization. Some research has looked into the possible detrimental impact of green investments on a company's value or performance. Cordeiro &amp; Sarkis (1997) investigated the relationship between environmental activism and corporate performance and discovered that environmental advocacy was detrimental to firm performance. The study concluded that businesses should be discouraged from taking ecologically aggressive measures, but it did not find that eco-friendly enterprises lose money in the long run. Gilley (2000) employed the event study approach in another study to investigate how environmental activities impact corporate performance. The study found a negative association between company performance and announcements of process-driven environmental measures, but a favourable relationship between product-driven environmental initiatives and business performance. Government regulations, market rivalry, technology, culture, and other factors influence green investments, which are critical to attaining sustainability. Green investments and corporate performance have been the focus of much research, with evidence pointing to beneficial consequences. Certain studies, however, have shown possible obstacles and negative outcomes connected with green expenditures.</w:t>
      </w:r>
    </w:p>
    <w:p>
      <w:pPr>
        <w:pStyle w:val="2"/>
        <w:spacing w:after="200" w:line="360" w:lineRule="auto"/>
        <w:rPr>
          <w:rFonts w:ascii="Times New Roman" w:hAnsi="Times New Roman" w:cs="Times New Roman"/>
          <w:b/>
          <w:bCs/>
          <w:color w:val="auto"/>
          <w:sz w:val="24"/>
          <w:szCs w:val="24"/>
        </w:rPr>
      </w:pPr>
      <w:commentRangeStart w:id="9"/>
      <w:r>
        <w:rPr>
          <w:rFonts w:ascii="Times New Roman" w:hAnsi="Times New Roman" w:cs="Times New Roman"/>
          <w:b/>
          <w:bCs/>
          <w:color w:val="auto"/>
          <w:sz w:val="24"/>
          <w:szCs w:val="24"/>
        </w:rPr>
        <w:t xml:space="preserve">Methodology </w:t>
      </w:r>
      <w:commentRangeEnd w:id="9"/>
      <w:r>
        <w:rPr>
          <w:rStyle w:val="8"/>
          <w:rFonts w:cs="Latha" w:asciiTheme="minorHAnsi" w:hAnsiTheme="minorHAnsi" w:eastAsiaTheme="minorHAnsi"/>
          <w:color w:val="auto"/>
        </w:rPr>
        <w:commentReference w:id="9"/>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section focuses the mechanism which used to achieve  research objectives of this study. Therefore, this explains the population and sample of the study, data and research method.</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manufacturing firms were the population of this study. Among them manufacturing firms that are listed in Colombo Stock Exchange (CSE) used as the sample of the study. Manufacturing companies which do not have continuous data were also excluded from the sample. Therefore sample consist with 31 companies.  Since the time period is 2012 to 2021, the study has 310 observations and the quantitative technique is used in this achieve the research objectives.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do the content analysis of annual reports of listed manufacturing companies for the year 2012 &amp; 2021 and the content analysis can be identified as the primary tool for analyze the annual reports. An disclosure index was developed to measure the grean investment practices under the main three categories of i</w:t>
      </w:r>
      <w:r>
        <w:rPr>
          <w:rFonts w:ascii="Times New Roman" w:hAnsi="Times New Roman" w:cs="Times New Roman"/>
          <w:sz w:val="24"/>
        </w:rPr>
        <w:t>nvestments in</w:t>
      </w:r>
      <w:r>
        <w:rPr>
          <w:rFonts w:ascii="Times New Roman" w:hAnsi="Times New Roman" w:cs="Times New Roman"/>
          <w:spacing w:val="-58"/>
          <w:sz w:val="24"/>
        </w:rPr>
        <w:t xml:space="preserve"> </w:t>
      </w:r>
      <w:r>
        <w:rPr>
          <w:rFonts w:ascii="Times New Roman" w:hAnsi="Times New Roman" w:cs="Times New Roman"/>
          <w:sz w:val="24"/>
        </w:rPr>
        <w:t>renewable</w:t>
      </w:r>
      <w:r>
        <w:rPr>
          <w:rFonts w:ascii="Times New Roman" w:hAnsi="Times New Roman" w:cs="Times New Roman"/>
          <w:spacing w:val="1"/>
          <w:sz w:val="24"/>
        </w:rPr>
        <w:t xml:space="preserve"> </w:t>
      </w:r>
      <w:r>
        <w:rPr>
          <w:rFonts w:ascii="Times New Roman" w:hAnsi="Times New Roman" w:cs="Times New Roman"/>
          <w:sz w:val="24"/>
        </w:rPr>
        <w:t>technologies, investments in</w:t>
      </w:r>
      <w:r>
        <w:rPr>
          <w:rFonts w:ascii="Times New Roman" w:hAnsi="Times New Roman" w:cs="Times New Roman"/>
          <w:spacing w:val="-58"/>
          <w:sz w:val="24"/>
        </w:rPr>
        <w:t xml:space="preserve"> </w:t>
      </w:r>
      <w:r>
        <w:rPr>
          <w:rFonts w:ascii="Times New Roman" w:hAnsi="Times New Roman" w:cs="Times New Roman"/>
          <w:sz w:val="24"/>
        </w:rPr>
        <w:t>energy-efficient technologies,  investments in</w:t>
      </w:r>
      <w:r>
        <w:rPr>
          <w:rFonts w:ascii="Times New Roman" w:hAnsi="Times New Roman" w:cs="Times New Roman"/>
          <w:spacing w:val="-58"/>
          <w:sz w:val="24"/>
        </w:rPr>
        <w:t xml:space="preserve"> </w:t>
      </w:r>
      <w:r>
        <w:rPr>
          <w:rFonts w:ascii="Times New Roman" w:hAnsi="Times New Roman" w:cs="Times New Roman"/>
          <w:sz w:val="24"/>
        </w:rPr>
        <w:t>recyclable &amp;</w:t>
      </w:r>
      <w:r>
        <w:rPr>
          <w:rFonts w:ascii="Times New Roman" w:hAnsi="Times New Roman" w:cs="Times New Roman"/>
          <w:spacing w:val="1"/>
          <w:sz w:val="24"/>
        </w:rPr>
        <w:t xml:space="preserve"> </w:t>
      </w:r>
      <w:r>
        <w:rPr>
          <w:rFonts w:ascii="Times New Roman" w:hAnsi="Times New Roman" w:cs="Times New Roman"/>
          <w:sz w:val="24"/>
        </w:rPr>
        <w:t>sustainable</w:t>
      </w:r>
      <w:r>
        <w:rPr>
          <w:rFonts w:ascii="Times New Roman" w:hAnsi="Times New Roman" w:cs="Times New Roman"/>
          <w:spacing w:val="1"/>
          <w:sz w:val="24"/>
        </w:rPr>
        <w:t xml:space="preserve"> </w:t>
      </w:r>
      <w:r>
        <w:rPr>
          <w:rFonts w:ascii="Times New Roman" w:hAnsi="Times New Roman" w:cs="Times New Roman"/>
          <w:sz w:val="24"/>
        </w:rPr>
        <w:t xml:space="preserve">materials </w:t>
      </w:r>
      <w:r>
        <w:rPr>
          <w:rFonts w:ascii="Times New Roman" w:hAnsi="Times New Roman" w:cs="Times New Roman"/>
          <w:sz w:val="24"/>
          <w:szCs w:val="24"/>
        </w:rPr>
        <w:t xml:space="preserve"> based on the indexes adopted and developed. The disclosure index was used as the measurement of dependent variable of the study. Return on Assets and Return on Equitytaken as independent variables of the study.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achieve research objectives the panel data analysis was used. Firstly, by using F test it examines the group effects to see whether which model is best over from pooled Ordinary Least Square (OLS) and Fixed Effect FE) model. Secondly, it carries out Hausman test to see whether which model is best over from FE model and random effect model. Thirdly, it tests the existence of time fixed effect. Also the study tested the multi-collinearity by employing Variance Inflation Factor (VIF).</w:t>
      </w:r>
    </w:p>
    <w:p>
      <w:pPr>
        <w:spacing w:after="0"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pStyle w:val="3"/>
        <w:spacing w:line="360" w:lineRule="auto"/>
        <w:rPr>
          <w:rFonts w:ascii="Times New Roman" w:hAnsi="Times New Roman" w:cs="Times New Roman"/>
          <w:b/>
          <w:bCs/>
          <w:color w:val="auto"/>
          <w:sz w:val="24"/>
          <w:szCs w:val="24"/>
        </w:rPr>
      </w:pPr>
      <w:r>
        <w:rPr>
          <w:rFonts w:ascii="Times New Roman" w:hAnsi="Times New Roman" w:cs="Times New Roman"/>
          <w:b/>
          <w:bCs/>
          <w:color w:val="auto"/>
          <w:sz w:val="24"/>
          <w:szCs w:val="24"/>
        </w:rPr>
        <w:t>Analysis of Firm Performance</w:t>
      </w:r>
    </w:p>
    <w:p>
      <w:pPr>
        <w:pStyle w:val="7"/>
        <w:tabs>
          <w:tab w:val="left" w:pos="756"/>
          <w:tab w:val="left" w:pos="6975"/>
        </w:tabs>
        <w:spacing w:line="360" w:lineRule="auto"/>
        <w:rPr>
          <w:iCs/>
        </w:rPr>
      </w:pPr>
      <m:oMath>
        <m:r>
          <m:rPr>
            <m:sty m:val="p"/>
          </m:rPr>
          <w:rPr>
            <w:rFonts w:ascii="Cambria Math" w:hAnsi="Cambria Math"/>
          </w:rPr>
          <m:t>Return on Assets (ROA)=</m:t>
        </m:r>
        <m:f>
          <m:fPr>
            <m:ctrlPr>
              <w:rPr>
                <w:rFonts w:ascii="Cambria Math" w:hAnsi="Cambria Math"/>
                <w:iCs/>
              </w:rPr>
            </m:ctrlPr>
          </m:fPr>
          <m:num>
            <m:r>
              <m:rPr>
                <m:sty m:val="p"/>
              </m:rPr>
              <w:rPr>
                <w:rFonts w:ascii="Cambria Math" w:hAnsi="Cambria Math"/>
              </w:rPr>
              <m:t xml:space="preserve">Net Income  </m:t>
            </m:r>
            <m:ctrlPr>
              <w:rPr>
                <w:rFonts w:ascii="Cambria Math" w:hAnsi="Cambria Math"/>
                <w:iCs/>
              </w:rPr>
            </m:ctrlPr>
          </m:num>
          <m:den>
            <m:r>
              <m:rPr>
                <m:sty m:val="p"/>
              </m:rPr>
              <w:rPr>
                <w:rFonts w:ascii="Cambria Math" w:hAnsi="Cambria Math"/>
              </w:rPr>
              <m:t>Total Assets</m:t>
            </m:r>
            <m:ctrlPr>
              <w:rPr>
                <w:rFonts w:ascii="Cambria Math" w:hAnsi="Cambria Math"/>
                <w:iCs/>
              </w:rPr>
            </m:ctrlPr>
          </m:den>
        </m:f>
        <m:r>
          <m:rPr>
            <m:sty m:val="p"/>
          </m:rPr>
          <w:rPr>
            <w:rFonts w:ascii="Cambria Math" w:hAnsi="Cambria Math"/>
          </w:rPr>
          <m:t xml:space="preserve"> ×100%</m:t>
        </m:r>
      </m:oMath>
      <w:r>
        <w:rPr>
          <w:iCs/>
        </w:rPr>
        <w:t xml:space="preserve">      </w:t>
      </w:r>
      <w:r>
        <w:rPr>
          <w:iCs/>
        </w:rPr>
        <w:tab/>
      </w:r>
      <w:r>
        <w:rPr>
          <w:iCs/>
        </w:rPr>
        <w:t xml:space="preserve">                                  </w:t>
      </w:r>
    </w:p>
    <w:p>
      <w:pPr>
        <w:pStyle w:val="7"/>
        <w:tabs>
          <w:tab w:val="left" w:pos="756"/>
          <w:tab w:val="left" w:pos="6975"/>
        </w:tabs>
        <w:spacing w:line="360" w:lineRule="auto"/>
        <w:jc w:val="right"/>
        <w:rPr>
          <w:iCs/>
        </w:rPr>
      </w:pPr>
      <w:r>
        <w:rPr>
          <w:iCs/>
        </w:rPr>
        <w:t>(1)</w:t>
      </w:r>
    </w:p>
    <w:p>
      <w:pPr>
        <w:pStyle w:val="7"/>
        <w:tabs>
          <w:tab w:val="left" w:pos="756"/>
        </w:tabs>
        <w:spacing w:line="360" w:lineRule="auto"/>
      </w:pPr>
    </w:p>
    <w:p>
      <w:pPr>
        <w:pStyle w:val="7"/>
        <w:tabs>
          <w:tab w:val="left" w:pos="756"/>
        </w:tabs>
        <w:spacing w:line="360" w:lineRule="auto"/>
      </w:pPr>
      <m:oMath>
        <m:r>
          <m:rPr/>
          <w:rPr>
            <w:rFonts w:ascii="Cambria Math" w:hAnsi="Cambria Math"/>
          </w:rPr>
          <m:t xml:space="preserve">Return on Equity </m:t>
        </m:r>
        <m:d>
          <m:dPr>
            <m:ctrlPr>
              <w:rPr>
                <w:rFonts w:ascii="Cambria Math" w:hAnsi="Cambria Math"/>
                <w:i/>
              </w:rPr>
            </m:ctrlPr>
          </m:dPr>
          <m:e>
            <m:r>
              <m:rPr/>
              <w:rPr>
                <w:rFonts w:ascii="Cambria Math" w:hAnsi="Cambria Math"/>
              </w:rPr>
              <m:t>ROE</m:t>
            </m:r>
            <m:ctrlPr>
              <w:rPr>
                <w:rFonts w:ascii="Cambria Math" w:hAnsi="Cambria Math"/>
                <w:i/>
              </w:rPr>
            </m:ctrlPr>
          </m:e>
        </m:d>
        <m:r>
          <m:rPr>
            <m:sty m:val="p"/>
          </m:rPr>
          <w:rPr>
            <w:rFonts w:ascii="Cambria Math" w:hAnsi="Cambria Math"/>
          </w:rPr>
          <m:t>=</m:t>
        </m:r>
        <m:f>
          <m:fPr>
            <m:ctrlPr>
              <w:rPr>
                <w:rFonts w:ascii="Cambria Math" w:hAnsi="Cambria Math"/>
              </w:rPr>
            </m:ctrlPr>
          </m:fPr>
          <m:num>
            <m:r>
              <m:rPr>
                <m:sty m:val="p"/>
              </m:rPr>
              <w:rPr>
                <w:rFonts w:ascii="Cambria Math" w:hAnsi="Cambria Math"/>
              </w:rPr>
              <m:t>Net Income</m:t>
            </m:r>
            <m:ctrlPr>
              <w:rPr>
                <w:rFonts w:ascii="Cambria Math" w:hAnsi="Cambria Math"/>
              </w:rPr>
            </m:ctrlPr>
          </m:num>
          <m:den>
            <m:r>
              <m:rPr>
                <m:sty m:val="p"/>
              </m:rPr>
              <w:rPr>
                <w:rFonts w:ascii="Cambria Math" w:hAnsi="Cambria Math"/>
              </w:rPr>
              <m:t>Shareholder Equity</m:t>
            </m:r>
            <m:ctrlPr>
              <w:rPr>
                <w:rFonts w:ascii="Cambria Math" w:hAnsi="Cambria Math"/>
              </w:rPr>
            </m:ctrlPr>
          </m:den>
        </m:f>
        <m:r>
          <m:rPr/>
          <w:rPr>
            <w:rFonts w:ascii="Cambria Math" w:hAnsi="Cambria Math"/>
          </w:rPr>
          <m:t>×100%</m:t>
        </m:r>
      </m:oMath>
      <w:r>
        <w:t xml:space="preserve">    </w:t>
      </w:r>
    </w:p>
    <w:p>
      <w:pPr>
        <w:pStyle w:val="7"/>
        <w:tabs>
          <w:tab w:val="left" w:pos="7845"/>
        </w:tabs>
        <w:spacing w:line="360" w:lineRule="auto"/>
        <w:jc w:val="right"/>
      </w:pPr>
      <w:r>
        <w:t>(2)</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used the above ratios to determine if the adoption of green investment techniques has resulted in an increase or loss of business performance during the given years. To examine the effect of green investment on firm value, one dependent variable (Firm Value) and three independent variables (Investments in renewable technologies, Selected energy-efficient technologies, and Investments in recyclable &amp; sustainable materials) are used. Accordingly, the other variables were extracted by summing four data, whereas Firm Value was extracted by summing three measurements. Data on financial performance, outreach indicators and control variables were individually collected from the annual reports, individual firm websites and by personally contacting the individual firms. The research design is longitudinal (panel). The panel is a balanced panel that comprises an equal number of periods (t) for all the individual firms. The panel dataset comprises 310 observations over the period 2012 to 2021. Here, the researcher has investigated the effect of green investment practices on the firm value.</w:t>
      </w:r>
    </w:p>
    <w:p>
      <w:pPr>
        <w:pStyle w:val="2"/>
        <w:spacing w:after="200" w:line="360" w:lineRule="auto"/>
        <w:rPr>
          <w:rFonts w:ascii="Times New Roman" w:hAnsi="Times New Roman" w:cs="Times New Roman"/>
          <w:b/>
          <w:bCs/>
          <w:color w:val="auto"/>
          <w:sz w:val="28"/>
          <w:szCs w:val="28"/>
        </w:rPr>
      </w:pPr>
      <w:r>
        <w:rPr>
          <w:rFonts w:ascii="Times New Roman" w:hAnsi="Times New Roman" w:cs="Times New Roman"/>
          <w:b/>
          <w:bCs/>
          <w:color w:val="auto"/>
          <w:sz w:val="28"/>
          <w:szCs w:val="28"/>
        </w:rPr>
        <w:t>Findings of the Study</w:t>
      </w:r>
    </w:p>
    <w:p>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14:textFill>
            <w14:solidFill>
              <w14:schemeClr w14:val="tx1"/>
            </w14:solidFill>
          </w14:textFill>
        </w:rPr>
        <w:t>The descriptive statistics for the summarized variable across the complete panel of data are shown in this section. Descriptive analysis is used to determine how variables behave.</w:t>
      </w:r>
      <w:r>
        <w:rPr>
          <w:rFonts w:ascii="Times New Roman" w:hAnsi="Times New Roman" w:cs="Times New Roman"/>
          <w:sz w:val="24"/>
          <w:szCs w:val="24"/>
        </w:rPr>
        <w:t xml:space="preserve"> The figures pertained are from the dataset including </w:t>
      </w:r>
      <w:bookmarkStart w:id="0" w:name="_Hlk147842705"/>
      <w:r>
        <w:rPr>
          <w:rFonts w:ascii="Times New Roman" w:hAnsi="Times New Roman" w:cs="Times New Roman"/>
          <w:sz w:val="24"/>
          <w:szCs w:val="24"/>
        </w:rPr>
        <w:t xml:space="preserve">310 observations for 31 businesses during </w:t>
      </w:r>
      <w:bookmarkEnd w:id="0"/>
      <w:r>
        <w:rPr>
          <w:rFonts w:ascii="Times New Roman" w:hAnsi="Times New Roman" w:cs="Times New Roman"/>
          <w:sz w:val="24"/>
          <w:szCs w:val="24"/>
        </w:rPr>
        <w:t>10 years. Return on Assets (ROA) and Return on Equity (ROE) are dependent variables, with Investment in Renewable Technologies (IRT), energy-efficient technologies (EET), and investment in recyclable and sustainable materials (IRSM) as the independent variables.</w:t>
      </w:r>
    </w:p>
    <w:p>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Table 01: Descriptive Statistics</w:t>
      </w:r>
    </w:p>
    <w:tbl>
      <w:tblPr>
        <w:tblStyle w:val="5"/>
        <w:tblW w:w="0" w:type="auto"/>
        <w:tblInd w:w="171" w:type="dxa"/>
        <w:tblLayout w:type="fixed"/>
        <w:tblCellMar>
          <w:top w:w="0" w:type="dxa"/>
          <w:left w:w="0" w:type="dxa"/>
          <w:bottom w:w="0" w:type="dxa"/>
          <w:right w:w="0" w:type="dxa"/>
        </w:tblCellMar>
      </w:tblPr>
      <w:tblGrid>
        <w:gridCol w:w="433"/>
        <w:gridCol w:w="1329"/>
        <w:gridCol w:w="1667"/>
        <w:gridCol w:w="1530"/>
        <w:gridCol w:w="996"/>
        <w:gridCol w:w="1380"/>
        <w:gridCol w:w="776"/>
      </w:tblGrid>
      <w:tr>
        <w:tblPrEx>
          <w:tblCellMar>
            <w:top w:w="0" w:type="dxa"/>
            <w:left w:w="0" w:type="dxa"/>
            <w:bottom w:w="0" w:type="dxa"/>
            <w:right w:w="0" w:type="dxa"/>
          </w:tblCellMar>
        </w:tblPrEx>
        <w:trPr>
          <w:trHeight w:val="285" w:hRule="atLeast"/>
        </w:trPr>
        <w:tc>
          <w:tcPr>
            <w:tcW w:w="433" w:type="dxa"/>
            <w:tcBorders>
              <w:bottom w:val="single" w:color="000000" w:sz="4" w:space="0"/>
            </w:tcBorders>
          </w:tcPr>
          <w:p>
            <w:pPr>
              <w:pStyle w:val="22"/>
              <w:spacing w:line="360" w:lineRule="auto"/>
              <w:rPr>
                <w:sz w:val="24"/>
                <w:szCs w:val="24"/>
              </w:rPr>
            </w:pPr>
          </w:p>
        </w:tc>
        <w:tc>
          <w:tcPr>
            <w:tcW w:w="1329" w:type="dxa"/>
            <w:tcBorders>
              <w:bottom w:val="single" w:color="000000" w:sz="4" w:space="0"/>
            </w:tcBorders>
          </w:tcPr>
          <w:p>
            <w:pPr>
              <w:pStyle w:val="22"/>
              <w:spacing w:before="2" w:line="360" w:lineRule="auto"/>
              <w:ind w:left="279"/>
              <w:rPr>
                <w:sz w:val="24"/>
                <w:szCs w:val="24"/>
              </w:rPr>
            </w:pPr>
            <w:r>
              <w:rPr>
                <w:spacing w:val="-2"/>
                <w:sz w:val="24"/>
                <w:szCs w:val="24"/>
              </w:rPr>
              <w:t>Variable</w:t>
            </w:r>
          </w:p>
        </w:tc>
        <w:tc>
          <w:tcPr>
            <w:tcW w:w="1667" w:type="dxa"/>
            <w:tcBorders>
              <w:bottom w:val="single" w:color="000000" w:sz="4" w:space="0"/>
            </w:tcBorders>
          </w:tcPr>
          <w:p>
            <w:pPr>
              <w:pStyle w:val="22"/>
              <w:spacing w:before="2" w:line="360" w:lineRule="auto"/>
              <w:ind w:right="444"/>
              <w:jc w:val="right"/>
              <w:rPr>
                <w:sz w:val="24"/>
                <w:szCs w:val="24"/>
              </w:rPr>
            </w:pPr>
            <w:r>
              <w:rPr>
                <w:spacing w:val="-5"/>
                <w:sz w:val="24"/>
                <w:szCs w:val="24"/>
              </w:rPr>
              <w:t>Obs</w:t>
            </w:r>
          </w:p>
        </w:tc>
        <w:tc>
          <w:tcPr>
            <w:tcW w:w="1530" w:type="dxa"/>
            <w:tcBorders>
              <w:bottom w:val="single" w:color="000000" w:sz="4" w:space="0"/>
            </w:tcBorders>
          </w:tcPr>
          <w:p>
            <w:pPr>
              <w:pStyle w:val="22"/>
              <w:spacing w:before="2" w:line="360" w:lineRule="auto"/>
              <w:ind w:left="446" w:right="446"/>
              <w:jc w:val="center"/>
              <w:rPr>
                <w:sz w:val="24"/>
                <w:szCs w:val="24"/>
              </w:rPr>
            </w:pPr>
            <w:r>
              <w:rPr>
                <w:spacing w:val="-4"/>
                <w:sz w:val="24"/>
                <w:szCs w:val="24"/>
              </w:rPr>
              <w:t>Mean</w:t>
            </w:r>
          </w:p>
        </w:tc>
        <w:tc>
          <w:tcPr>
            <w:tcW w:w="996" w:type="dxa"/>
            <w:tcBorders>
              <w:bottom w:val="single" w:color="000000" w:sz="4" w:space="0"/>
            </w:tcBorders>
          </w:tcPr>
          <w:p>
            <w:pPr>
              <w:pStyle w:val="22"/>
              <w:spacing w:before="2" w:line="360" w:lineRule="auto"/>
              <w:ind w:left="1"/>
              <w:rPr>
                <w:sz w:val="24"/>
                <w:szCs w:val="24"/>
              </w:rPr>
            </w:pPr>
            <w:r>
              <w:rPr>
                <w:sz w:val="24"/>
                <w:szCs w:val="24"/>
              </w:rPr>
              <w:t xml:space="preserve"> Std.</w:t>
            </w:r>
            <w:r>
              <w:rPr>
                <w:spacing w:val="38"/>
                <w:sz w:val="24"/>
                <w:szCs w:val="24"/>
              </w:rPr>
              <w:t xml:space="preserve">   </w:t>
            </w:r>
            <w:r>
              <w:rPr>
                <w:spacing w:val="-4"/>
                <w:sz w:val="24"/>
                <w:szCs w:val="24"/>
              </w:rPr>
              <w:t>Dev.</w:t>
            </w:r>
          </w:p>
        </w:tc>
        <w:tc>
          <w:tcPr>
            <w:tcW w:w="1380" w:type="dxa"/>
            <w:tcBorders>
              <w:bottom w:val="single" w:color="000000" w:sz="4" w:space="0"/>
            </w:tcBorders>
          </w:tcPr>
          <w:p>
            <w:pPr>
              <w:pStyle w:val="22"/>
              <w:spacing w:before="2" w:line="360" w:lineRule="auto"/>
              <w:ind w:left="609"/>
              <w:rPr>
                <w:sz w:val="24"/>
                <w:szCs w:val="24"/>
              </w:rPr>
            </w:pPr>
            <w:r>
              <w:rPr>
                <w:spacing w:val="-5"/>
                <w:sz w:val="24"/>
                <w:szCs w:val="24"/>
              </w:rPr>
              <w:t>Min</w:t>
            </w:r>
          </w:p>
        </w:tc>
        <w:tc>
          <w:tcPr>
            <w:tcW w:w="776" w:type="dxa"/>
            <w:tcBorders>
              <w:bottom w:val="single" w:color="000000" w:sz="4" w:space="0"/>
            </w:tcBorders>
          </w:tcPr>
          <w:p>
            <w:pPr>
              <w:pStyle w:val="22"/>
              <w:spacing w:before="2" w:line="360" w:lineRule="auto"/>
              <w:ind w:right="8"/>
              <w:jc w:val="right"/>
              <w:rPr>
                <w:sz w:val="24"/>
                <w:szCs w:val="24"/>
              </w:rPr>
            </w:pPr>
            <w:r>
              <w:rPr>
                <w:spacing w:val="-5"/>
                <w:sz w:val="24"/>
                <w:szCs w:val="24"/>
              </w:rPr>
              <w:t>Max</w:t>
            </w:r>
          </w:p>
        </w:tc>
      </w:tr>
      <w:tr>
        <w:tblPrEx>
          <w:tblCellMar>
            <w:top w:w="0" w:type="dxa"/>
            <w:left w:w="0" w:type="dxa"/>
            <w:bottom w:w="0" w:type="dxa"/>
            <w:right w:w="0" w:type="dxa"/>
          </w:tblCellMar>
        </w:tblPrEx>
        <w:trPr>
          <w:trHeight w:val="287" w:hRule="atLeast"/>
        </w:trPr>
        <w:tc>
          <w:tcPr>
            <w:tcW w:w="433" w:type="dxa"/>
            <w:tcBorders>
              <w:top w:val="single" w:color="000000" w:sz="4" w:space="0"/>
            </w:tcBorders>
          </w:tcPr>
          <w:p>
            <w:pPr>
              <w:pStyle w:val="22"/>
              <w:spacing w:line="360" w:lineRule="auto"/>
              <w:rPr>
                <w:sz w:val="24"/>
                <w:szCs w:val="24"/>
              </w:rPr>
            </w:pPr>
          </w:p>
        </w:tc>
        <w:tc>
          <w:tcPr>
            <w:tcW w:w="1329" w:type="dxa"/>
            <w:tcBorders>
              <w:top w:val="single" w:color="000000" w:sz="4" w:space="0"/>
            </w:tcBorders>
          </w:tcPr>
          <w:p>
            <w:pPr>
              <w:pStyle w:val="22"/>
              <w:spacing w:before="96" w:line="360" w:lineRule="auto"/>
              <w:ind w:left="831"/>
              <w:rPr>
                <w:sz w:val="24"/>
                <w:szCs w:val="24"/>
              </w:rPr>
            </w:pPr>
            <w:r>
              <w:rPr>
                <w:spacing w:val="-5"/>
                <w:sz w:val="24"/>
                <w:szCs w:val="24"/>
              </w:rPr>
              <w:t>ROE</w:t>
            </w:r>
            <w:r>
              <w:rPr>
                <w:rStyle w:val="8"/>
                <w:rFonts w:cs="Latha" w:asciiTheme="minorHAnsi" w:hAnsiTheme="minorHAnsi" w:eastAsiaTheme="minorHAnsi"/>
                <w:lang w:bidi="ta-IN"/>
              </w:rPr>
              <w:commentReference w:id="10"/>
            </w:r>
          </w:p>
        </w:tc>
        <w:tc>
          <w:tcPr>
            <w:tcW w:w="1667" w:type="dxa"/>
            <w:tcBorders>
              <w:top w:val="single" w:color="000000" w:sz="4" w:space="0"/>
            </w:tcBorders>
          </w:tcPr>
          <w:p>
            <w:pPr>
              <w:pStyle w:val="22"/>
              <w:spacing w:before="93" w:line="360" w:lineRule="auto"/>
              <w:ind w:right="444"/>
              <w:jc w:val="right"/>
              <w:rPr>
                <w:bCs/>
                <w:sz w:val="24"/>
                <w:szCs w:val="24"/>
              </w:rPr>
            </w:pPr>
            <w:r>
              <w:rPr>
                <w:bCs/>
                <w:spacing w:val="-5"/>
                <w:sz w:val="24"/>
                <w:szCs w:val="24"/>
              </w:rPr>
              <w:t>310</w:t>
            </w:r>
          </w:p>
        </w:tc>
        <w:tc>
          <w:tcPr>
            <w:tcW w:w="1530" w:type="dxa"/>
            <w:tcBorders>
              <w:top w:val="single" w:color="000000" w:sz="4" w:space="0"/>
            </w:tcBorders>
          </w:tcPr>
          <w:p>
            <w:pPr>
              <w:pStyle w:val="22"/>
              <w:spacing w:before="93" w:line="360" w:lineRule="auto"/>
              <w:ind w:left="112"/>
              <w:rPr>
                <w:bCs/>
                <w:sz w:val="24"/>
                <w:szCs w:val="24"/>
              </w:rPr>
            </w:pPr>
            <w:r>
              <w:rPr>
                <w:bCs/>
                <w:spacing w:val="-2"/>
                <w:sz w:val="24"/>
                <w:szCs w:val="24"/>
              </w:rPr>
              <w:t>30.0356</w:t>
            </w:r>
          </w:p>
        </w:tc>
        <w:tc>
          <w:tcPr>
            <w:tcW w:w="996" w:type="dxa"/>
            <w:tcBorders>
              <w:top w:val="single" w:color="000000" w:sz="4" w:space="0"/>
            </w:tcBorders>
          </w:tcPr>
          <w:p>
            <w:pPr>
              <w:pStyle w:val="22"/>
              <w:spacing w:before="93" w:line="360" w:lineRule="auto"/>
              <w:ind w:left="112"/>
              <w:rPr>
                <w:bCs/>
                <w:sz w:val="24"/>
                <w:szCs w:val="24"/>
              </w:rPr>
            </w:pPr>
            <w:r>
              <w:rPr>
                <w:bCs/>
                <w:spacing w:val="-2"/>
                <w:sz w:val="24"/>
                <w:szCs w:val="24"/>
              </w:rPr>
              <w:t>48.4665</w:t>
            </w:r>
          </w:p>
        </w:tc>
        <w:tc>
          <w:tcPr>
            <w:tcW w:w="1380" w:type="dxa"/>
            <w:tcBorders>
              <w:top w:val="single" w:color="000000" w:sz="4" w:space="0"/>
            </w:tcBorders>
          </w:tcPr>
          <w:p>
            <w:pPr>
              <w:pStyle w:val="22"/>
              <w:spacing w:before="93" w:line="360" w:lineRule="auto"/>
              <w:ind w:left="608"/>
              <w:rPr>
                <w:bCs/>
                <w:sz w:val="24"/>
                <w:szCs w:val="24"/>
              </w:rPr>
            </w:pPr>
            <w:r>
              <w:rPr>
                <w:bCs/>
                <w:sz w:val="24"/>
                <w:szCs w:val="24"/>
              </w:rPr>
              <w:t>-</w:t>
            </w:r>
            <w:r>
              <w:rPr>
                <w:bCs/>
                <w:spacing w:val="-5"/>
                <w:sz w:val="24"/>
                <w:szCs w:val="24"/>
              </w:rPr>
              <w:t>58</w:t>
            </w:r>
          </w:p>
        </w:tc>
        <w:tc>
          <w:tcPr>
            <w:tcW w:w="776" w:type="dxa"/>
            <w:tcBorders>
              <w:top w:val="single" w:color="000000" w:sz="4" w:space="0"/>
            </w:tcBorders>
          </w:tcPr>
          <w:p>
            <w:pPr>
              <w:pStyle w:val="22"/>
              <w:spacing w:before="93" w:line="360" w:lineRule="auto"/>
              <w:ind w:right="7"/>
              <w:jc w:val="right"/>
              <w:rPr>
                <w:bCs/>
                <w:sz w:val="24"/>
                <w:szCs w:val="24"/>
              </w:rPr>
            </w:pPr>
            <w:r>
              <w:rPr>
                <w:bCs/>
                <w:spacing w:val="-5"/>
                <w:sz w:val="24"/>
                <w:szCs w:val="24"/>
              </w:rPr>
              <w:t>344</w:t>
            </w:r>
          </w:p>
        </w:tc>
      </w:tr>
      <w:tr>
        <w:tblPrEx>
          <w:tblCellMar>
            <w:top w:w="0" w:type="dxa"/>
            <w:left w:w="0" w:type="dxa"/>
            <w:bottom w:w="0" w:type="dxa"/>
            <w:right w:w="0" w:type="dxa"/>
          </w:tblCellMar>
        </w:tblPrEx>
        <w:trPr>
          <w:trHeight w:val="194" w:hRule="atLeast"/>
        </w:trPr>
        <w:tc>
          <w:tcPr>
            <w:tcW w:w="433" w:type="dxa"/>
          </w:tcPr>
          <w:p>
            <w:pPr>
              <w:pStyle w:val="22"/>
              <w:spacing w:line="360" w:lineRule="auto"/>
              <w:rPr>
                <w:sz w:val="24"/>
                <w:szCs w:val="24"/>
              </w:rPr>
            </w:pPr>
          </w:p>
        </w:tc>
        <w:tc>
          <w:tcPr>
            <w:tcW w:w="1329" w:type="dxa"/>
          </w:tcPr>
          <w:p>
            <w:pPr>
              <w:pStyle w:val="22"/>
              <w:spacing w:before="2" w:line="360" w:lineRule="auto"/>
              <w:ind w:left="831"/>
              <w:rPr>
                <w:sz w:val="24"/>
                <w:szCs w:val="24"/>
              </w:rPr>
            </w:pPr>
            <w:r>
              <w:rPr>
                <w:spacing w:val="-5"/>
                <w:sz w:val="24"/>
                <w:szCs w:val="24"/>
              </w:rPr>
              <w:t>ROA</w:t>
            </w:r>
          </w:p>
        </w:tc>
        <w:tc>
          <w:tcPr>
            <w:tcW w:w="1667" w:type="dxa"/>
          </w:tcPr>
          <w:p>
            <w:pPr>
              <w:pStyle w:val="22"/>
              <w:spacing w:line="360" w:lineRule="auto"/>
              <w:ind w:right="444"/>
              <w:jc w:val="right"/>
              <w:rPr>
                <w:bCs/>
                <w:sz w:val="24"/>
                <w:szCs w:val="24"/>
              </w:rPr>
            </w:pPr>
            <w:r>
              <w:rPr>
                <w:bCs/>
                <w:spacing w:val="-5"/>
                <w:sz w:val="24"/>
                <w:szCs w:val="24"/>
              </w:rPr>
              <w:t>310</w:t>
            </w:r>
          </w:p>
        </w:tc>
        <w:tc>
          <w:tcPr>
            <w:tcW w:w="1530" w:type="dxa"/>
          </w:tcPr>
          <w:p>
            <w:pPr>
              <w:pStyle w:val="22"/>
              <w:spacing w:line="360" w:lineRule="auto"/>
              <w:ind w:left="2"/>
              <w:rPr>
                <w:bCs/>
                <w:sz w:val="24"/>
                <w:szCs w:val="24"/>
              </w:rPr>
            </w:pPr>
            <w:r>
              <w:rPr>
                <w:bCs/>
                <w:spacing w:val="-2"/>
                <w:sz w:val="24"/>
                <w:szCs w:val="24"/>
              </w:rPr>
              <w:t>8.385113</w:t>
            </w:r>
          </w:p>
        </w:tc>
        <w:tc>
          <w:tcPr>
            <w:tcW w:w="996" w:type="dxa"/>
          </w:tcPr>
          <w:p>
            <w:pPr>
              <w:pStyle w:val="22"/>
              <w:spacing w:line="360" w:lineRule="auto"/>
              <w:ind w:left="2"/>
              <w:rPr>
                <w:bCs/>
                <w:sz w:val="24"/>
                <w:szCs w:val="24"/>
              </w:rPr>
            </w:pPr>
            <w:r>
              <w:rPr>
                <w:bCs/>
                <w:spacing w:val="-2"/>
                <w:sz w:val="24"/>
                <w:szCs w:val="24"/>
              </w:rPr>
              <w:t>11.46071</w:t>
            </w:r>
          </w:p>
        </w:tc>
        <w:tc>
          <w:tcPr>
            <w:tcW w:w="1380" w:type="dxa"/>
          </w:tcPr>
          <w:p>
            <w:pPr>
              <w:pStyle w:val="22"/>
              <w:spacing w:line="360" w:lineRule="auto"/>
              <w:ind w:left="608"/>
              <w:rPr>
                <w:bCs/>
                <w:sz w:val="24"/>
                <w:szCs w:val="24"/>
              </w:rPr>
            </w:pPr>
            <w:r>
              <w:rPr>
                <w:bCs/>
                <w:sz w:val="24"/>
                <w:szCs w:val="24"/>
              </w:rPr>
              <w:t>-</w:t>
            </w:r>
            <w:r>
              <w:rPr>
                <w:bCs/>
                <w:spacing w:val="-5"/>
                <w:sz w:val="24"/>
                <w:szCs w:val="24"/>
              </w:rPr>
              <w:t>30</w:t>
            </w:r>
          </w:p>
        </w:tc>
        <w:tc>
          <w:tcPr>
            <w:tcW w:w="776" w:type="dxa"/>
          </w:tcPr>
          <w:p>
            <w:pPr>
              <w:pStyle w:val="22"/>
              <w:spacing w:line="360" w:lineRule="auto"/>
              <w:ind w:right="7"/>
              <w:jc w:val="right"/>
              <w:rPr>
                <w:bCs/>
                <w:sz w:val="24"/>
                <w:szCs w:val="24"/>
              </w:rPr>
            </w:pPr>
            <w:r>
              <w:rPr>
                <w:bCs/>
                <w:spacing w:val="-5"/>
                <w:sz w:val="24"/>
                <w:szCs w:val="24"/>
              </w:rPr>
              <w:t>57</w:t>
            </w:r>
          </w:p>
        </w:tc>
      </w:tr>
      <w:tr>
        <w:tblPrEx>
          <w:tblCellMar>
            <w:top w:w="0" w:type="dxa"/>
            <w:left w:w="0" w:type="dxa"/>
            <w:bottom w:w="0" w:type="dxa"/>
            <w:right w:w="0" w:type="dxa"/>
          </w:tblCellMar>
        </w:tblPrEx>
        <w:trPr>
          <w:trHeight w:val="194" w:hRule="atLeast"/>
        </w:trPr>
        <w:tc>
          <w:tcPr>
            <w:tcW w:w="433" w:type="dxa"/>
          </w:tcPr>
          <w:p>
            <w:pPr>
              <w:pStyle w:val="22"/>
              <w:spacing w:line="360" w:lineRule="auto"/>
              <w:rPr>
                <w:sz w:val="24"/>
                <w:szCs w:val="24"/>
              </w:rPr>
            </w:pPr>
          </w:p>
        </w:tc>
        <w:tc>
          <w:tcPr>
            <w:tcW w:w="1329" w:type="dxa"/>
          </w:tcPr>
          <w:p>
            <w:pPr>
              <w:pStyle w:val="22"/>
              <w:spacing w:before="2" w:line="360" w:lineRule="auto"/>
              <w:ind w:left="831"/>
              <w:rPr>
                <w:sz w:val="24"/>
                <w:szCs w:val="24"/>
              </w:rPr>
            </w:pPr>
            <w:r>
              <w:rPr>
                <w:spacing w:val="-5"/>
                <w:sz w:val="24"/>
                <w:szCs w:val="24"/>
              </w:rPr>
              <w:t>IRT</w:t>
            </w:r>
          </w:p>
        </w:tc>
        <w:tc>
          <w:tcPr>
            <w:tcW w:w="1667" w:type="dxa"/>
          </w:tcPr>
          <w:p>
            <w:pPr>
              <w:pStyle w:val="22"/>
              <w:spacing w:line="360" w:lineRule="auto"/>
              <w:ind w:right="444"/>
              <w:jc w:val="right"/>
              <w:rPr>
                <w:bCs/>
                <w:sz w:val="24"/>
                <w:szCs w:val="24"/>
              </w:rPr>
            </w:pPr>
            <w:r>
              <w:rPr>
                <w:bCs/>
                <w:spacing w:val="-5"/>
                <w:sz w:val="24"/>
                <w:szCs w:val="24"/>
              </w:rPr>
              <w:t>310</w:t>
            </w:r>
          </w:p>
        </w:tc>
        <w:tc>
          <w:tcPr>
            <w:tcW w:w="1530" w:type="dxa"/>
          </w:tcPr>
          <w:p>
            <w:pPr>
              <w:pStyle w:val="22"/>
              <w:spacing w:line="360" w:lineRule="auto"/>
              <w:ind w:left="2"/>
              <w:rPr>
                <w:bCs/>
                <w:sz w:val="24"/>
                <w:szCs w:val="24"/>
              </w:rPr>
            </w:pPr>
            <w:r>
              <w:rPr>
                <w:bCs/>
                <w:spacing w:val="-2"/>
                <w:sz w:val="24"/>
                <w:szCs w:val="24"/>
              </w:rPr>
              <w:t>.2006472</w:t>
            </w:r>
          </w:p>
        </w:tc>
        <w:tc>
          <w:tcPr>
            <w:tcW w:w="996" w:type="dxa"/>
          </w:tcPr>
          <w:p>
            <w:pPr>
              <w:pStyle w:val="22"/>
              <w:spacing w:line="360" w:lineRule="auto"/>
              <w:ind w:left="2"/>
              <w:rPr>
                <w:bCs/>
                <w:sz w:val="24"/>
                <w:szCs w:val="24"/>
              </w:rPr>
            </w:pPr>
            <w:r>
              <w:rPr>
                <w:bCs/>
                <w:spacing w:val="-2"/>
                <w:sz w:val="24"/>
                <w:szCs w:val="24"/>
              </w:rPr>
              <w:t>.4011342</w:t>
            </w:r>
          </w:p>
        </w:tc>
        <w:tc>
          <w:tcPr>
            <w:tcW w:w="1380" w:type="dxa"/>
          </w:tcPr>
          <w:p>
            <w:pPr>
              <w:pStyle w:val="22"/>
              <w:spacing w:line="360" w:lineRule="auto"/>
              <w:ind w:left="829"/>
              <w:rPr>
                <w:bCs/>
                <w:sz w:val="24"/>
                <w:szCs w:val="24"/>
              </w:rPr>
            </w:pPr>
            <w:r>
              <w:rPr>
                <w:bCs/>
                <w:sz w:val="24"/>
                <w:szCs w:val="24"/>
              </w:rPr>
              <w:t>0</w:t>
            </w:r>
          </w:p>
        </w:tc>
        <w:tc>
          <w:tcPr>
            <w:tcW w:w="776" w:type="dxa"/>
          </w:tcPr>
          <w:p>
            <w:pPr>
              <w:pStyle w:val="22"/>
              <w:spacing w:line="360" w:lineRule="auto"/>
              <w:ind w:right="7"/>
              <w:jc w:val="right"/>
              <w:rPr>
                <w:bCs/>
                <w:sz w:val="24"/>
                <w:szCs w:val="24"/>
              </w:rPr>
            </w:pPr>
            <w:r>
              <w:rPr>
                <w:bCs/>
                <w:sz w:val="24"/>
                <w:szCs w:val="24"/>
              </w:rPr>
              <w:t>1</w:t>
            </w:r>
          </w:p>
        </w:tc>
      </w:tr>
      <w:tr>
        <w:tblPrEx>
          <w:tblCellMar>
            <w:top w:w="0" w:type="dxa"/>
            <w:left w:w="0" w:type="dxa"/>
            <w:bottom w:w="0" w:type="dxa"/>
            <w:right w:w="0" w:type="dxa"/>
          </w:tblCellMar>
        </w:tblPrEx>
        <w:trPr>
          <w:trHeight w:val="194" w:hRule="atLeast"/>
        </w:trPr>
        <w:tc>
          <w:tcPr>
            <w:tcW w:w="433" w:type="dxa"/>
          </w:tcPr>
          <w:p>
            <w:pPr>
              <w:pStyle w:val="22"/>
              <w:spacing w:line="360" w:lineRule="auto"/>
              <w:rPr>
                <w:sz w:val="24"/>
                <w:szCs w:val="24"/>
              </w:rPr>
            </w:pPr>
          </w:p>
        </w:tc>
        <w:tc>
          <w:tcPr>
            <w:tcW w:w="1329" w:type="dxa"/>
          </w:tcPr>
          <w:p>
            <w:pPr>
              <w:pStyle w:val="22"/>
              <w:spacing w:before="2" w:line="360" w:lineRule="auto"/>
              <w:ind w:left="831"/>
              <w:rPr>
                <w:sz w:val="24"/>
                <w:szCs w:val="24"/>
              </w:rPr>
            </w:pPr>
            <w:r>
              <w:rPr>
                <w:spacing w:val="-5"/>
                <w:sz w:val="24"/>
                <w:szCs w:val="24"/>
              </w:rPr>
              <w:t>EET</w:t>
            </w:r>
          </w:p>
        </w:tc>
        <w:tc>
          <w:tcPr>
            <w:tcW w:w="1667" w:type="dxa"/>
          </w:tcPr>
          <w:p>
            <w:pPr>
              <w:pStyle w:val="22"/>
              <w:spacing w:line="360" w:lineRule="auto"/>
              <w:ind w:right="444"/>
              <w:jc w:val="right"/>
              <w:rPr>
                <w:bCs/>
                <w:sz w:val="24"/>
                <w:szCs w:val="24"/>
              </w:rPr>
            </w:pPr>
            <w:r>
              <w:rPr>
                <w:bCs/>
                <w:spacing w:val="-5"/>
                <w:sz w:val="24"/>
                <w:szCs w:val="24"/>
              </w:rPr>
              <w:t>310</w:t>
            </w:r>
          </w:p>
        </w:tc>
        <w:tc>
          <w:tcPr>
            <w:tcW w:w="1530" w:type="dxa"/>
          </w:tcPr>
          <w:p>
            <w:pPr>
              <w:pStyle w:val="22"/>
              <w:spacing w:line="360" w:lineRule="auto"/>
              <w:ind w:left="2"/>
              <w:rPr>
                <w:bCs/>
                <w:sz w:val="24"/>
                <w:szCs w:val="24"/>
              </w:rPr>
            </w:pPr>
            <w:r>
              <w:rPr>
                <w:bCs/>
                <w:spacing w:val="-2"/>
                <w:sz w:val="24"/>
                <w:szCs w:val="24"/>
              </w:rPr>
              <w:t>.5436893</w:t>
            </w:r>
          </w:p>
        </w:tc>
        <w:tc>
          <w:tcPr>
            <w:tcW w:w="996" w:type="dxa"/>
          </w:tcPr>
          <w:p>
            <w:pPr>
              <w:pStyle w:val="22"/>
              <w:spacing w:line="360" w:lineRule="auto"/>
              <w:ind w:left="2"/>
              <w:rPr>
                <w:bCs/>
                <w:sz w:val="24"/>
                <w:szCs w:val="24"/>
              </w:rPr>
            </w:pPr>
            <w:r>
              <w:rPr>
                <w:bCs/>
                <w:spacing w:val="-2"/>
                <w:sz w:val="24"/>
                <w:szCs w:val="24"/>
              </w:rPr>
              <w:t>.4988955</w:t>
            </w:r>
          </w:p>
        </w:tc>
        <w:tc>
          <w:tcPr>
            <w:tcW w:w="1380" w:type="dxa"/>
          </w:tcPr>
          <w:p>
            <w:pPr>
              <w:pStyle w:val="22"/>
              <w:spacing w:line="360" w:lineRule="auto"/>
              <w:ind w:left="829"/>
              <w:rPr>
                <w:bCs/>
                <w:sz w:val="24"/>
                <w:szCs w:val="24"/>
              </w:rPr>
            </w:pPr>
            <w:r>
              <w:rPr>
                <w:bCs/>
                <w:sz w:val="24"/>
                <w:szCs w:val="24"/>
              </w:rPr>
              <w:t>0</w:t>
            </w:r>
          </w:p>
        </w:tc>
        <w:tc>
          <w:tcPr>
            <w:tcW w:w="776" w:type="dxa"/>
          </w:tcPr>
          <w:p>
            <w:pPr>
              <w:pStyle w:val="22"/>
              <w:spacing w:line="360" w:lineRule="auto"/>
              <w:ind w:right="7"/>
              <w:jc w:val="right"/>
              <w:rPr>
                <w:bCs/>
                <w:sz w:val="24"/>
                <w:szCs w:val="24"/>
              </w:rPr>
            </w:pPr>
            <w:r>
              <w:rPr>
                <w:bCs/>
                <w:sz w:val="24"/>
                <w:szCs w:val="24"/>
              </w:rPr>
              <w:t>1</w:t>
            </w:r>
          </w:p>
        </w:tc>
      </w:tr>
      <w:tr>
        <w:tblPrEx>
          <w:tblCellMar>
            <w:top w:w="0" w:type="dxa"/>
            <w:left w:w="0" w:type="dxa"/>
            <w:bottom w:w="0" w:type="dxa"/>
            <w:right w:w="0" w:type="dxa"/>
          </w:tblCellMar>
        </w:tblPrEx>
        <w:trPr>
          <w:trHeight w:val="292" w:hRule="atLeast"/>
        </w:trPr>
        <w:tc>
          <w:tcPr>
            <w:tcW w:w="433" w:type="dxa"/>
          </w:tcPr>
          <w:p>
            <w:pPr>
              <w:pStyle w:val="22"/>
              <w:spacing w:line="360" w:lineRule="auto"/>
              <w:rPr>
                <w:sz w:val="24"/>
                <w:szCs w:val="24"/>
              </w:rPr>
            </w:pPr>
          </w:p>
        </w:tc>
        <w:tc>
          <w:tcPr>
            <w:tcW w:w="1329" w:type="dxa"/>
          </w:tcPr>
          <w:p>
            <w:pPr>
              <w:pStyle w:val="22"/>
              <w:spacing w:before="2" w:line="360" w:lineRule="auto"/>
              <w:ind w:left="721"/>
              <w:rPr>
                <w:sz w:val="24"/>
                <w:szCs w:val="24"/>
              </w:rPr>
            </w:pPr>
            <w:r>
              <w:rPr>
                <w:spacing w:val="-4"/>
                <w:sz w:val="24"/>
                <w:szCs w:val="24"/>
              </w:rPr>
              <w:t>IRSM</w:t>
            </w:r>
          </w:p>
        </w:tc>
        <w:tc>
          <w:tcPr>
            <w:tcW w:w="1667" w:type="dxa"/>
          </w:tcPr>
          <w:p>
            <w:pPr>
              <w:pStyle w:val="22"/>
              <w:spacing w:line="360" w:lineRule="auto"/>
              <w:ind w:right="444"/>
              <w:jc w:val="right"/>
              <w:rPr>
                <w:bCs/>
                <w:sz w:val="24"/>
                <w:szCs w:val="24"/>
              </w:rPr>
            </w:pPr>
            <w:r>
              <w:rPr>
                <w:bCs/>
                <w:spacing w:val="-5"/>
                <w:sz w:val="24"/>
                <w:szCs w:val="24"/>
              </w:rPr>
              <w:t>310</w:t>
            </w:r>
          </w:p>
        </w:tc>
        <w:tc>
          <w:tcPr>
            <w:tcW w:w="1530" w:type="dxa"/>
          </w:tcPr>
          <w:p>
            <w:pPr>
              <w:pStyle w:val="22"/>
              <w:spacing w:line="360" w:lineRule="auto"/>
              <w:ind w:left="2"/>
              <w:rPr>
                <w:bCs/>
                <w:sz w:val="24"/>
                <w:szCs w:val="24"/>
              </w:rPr>
            </w:pPr>
            <w:r>
              <w:rPr>
                <w:bCs/>
                <w:spacing w:val="-2"/>
                <w:sz w:val="24"/>
                <w:szCs w:val="24"/>
              </w:rPr>
              <w:t>.5048544</w:t>
            </w:r>
          </w:p>
        </w:tc>
        <w:tc>
          <w:tcPr>
            <w:tcW w:w="996" w:type="dxa"/>
          </w:tcPr>
          <w:p>
            <w:pPr>
              <w:pStyle w:val="22"/>
              <w:spacing w:line="360" w:lineRule="auto"/>
              <w:ind w:left="2"/>
              <w:rPr>
                <w:bCs/>
                <w:sz w:val="24"/>
                <w:szCs w:val="24"/>
              </w:rPr>
            </w:pPr>
            <w:r>
              <w:rPr>
                <w:bCs/>
                <w:spacing w:val="-2"/>
                <w:sz w:val="24"/>
                <w:szCs w:val="24"/>
              </w:rPr>
              <w:t>.5007874</w:t>
            </w:r>
          </w:p>
        </w:tc>
        <w:tc>
          <w:tcPr>
            <w:tcW w:w="1380" w:type="dxa"/>
          </w:tcPr>
          <w:p>
            <w:pPr>
              <w:pStyle w:val="22"/>
              <w:spacing w:line="360" w:lineRule="auto"/>
              <w:ind w:left="829"/>
              <w:rPr>
                <w:bCs/>
                <w:sz w:val="24"/>
                <w:szCs w:val="24"/>
              </w:rPr>
            </w:pPr>
            <w:r>
              <w:rPr>
                <w:bCs/>
                <w:sz w:val="24"/>
                <w:szCs w:val="24"/>
              </w:rPr>
              <w:t>0</w:t>
            </w:r>
          </w:p>
        </w:tc>
        <w:tc>
          <w:tcPr>
            <w:tcW w:w="776" w:type="dxa"/>
          </w:tcPr>
          <w:p>
            <w:pPr>
              <w:pStyle w:val="22"/>
              <w:spacing w:line="360" w:lineRule="auto"/>
              <w:ind w:right="7"/>
              <w:jc w:val="right"/>
              <w:rPr>
                <w:bCs/>
                <w:sz w:val="24"/>
                <w:szCs w:val="24"/>
              </w:rPr>
            </w:pPr>
            <w:r>
              <w:rPr>
                <w:bCs/>
                <w:sz w:val="24"/>
                <w:szCs w:val="24"/>
              </w:rPr>
              <w:t>1</w:t>
            </w:r>
          </w:p>
        </w:tc>
      </w:tr>
    </w:tbl>
    <w:p>
      <w:pPr>
        <w:spacing w:line="360" w:lineRule="auto"/>
        <w:jc w:val="both"/>
        <w:rPr>
          <w:rFonts w:ascii="Times New Roman" w:hAnsi="Times New Roman" w:cs="Times New Roman"/>
          <w:color w:val="000000" w:themeColor="text1"/>
          <w:sz w:val="24"/>
          <w:szCs w:val="24"/>
          <w14:textFill>
            <w14:solidFill>
              <w14:schemeClr w14:val="tx1"/>
            </w14:solidFill>
          </w14:textFill>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descriptive statistics reflect the data's range and core patterns. The extreme points recorded within the dataset are represented by the lowest and maximum values. For example, Return on Equity (ROE) goes from -58 to 344, while Return on Assets (ROA) extends from -30 to 57. The arithmetic mean, sometimes known as the average, is a popular measure of central tendency. The typical values of ROE and ROA in this context are 30.0356 and 8.3851, respectively. It is important to remember, however, that the mean is sensitive to extreme values, either extraordinarily high or tiny, which may have an influence on the general interpretation of the data. The standard deviation measures the spread or dispersion of observations. A larger standard deviation suggests greater dispersion among data points, whereas a smaller standard deviation indicates less dispersion. The standard deviation for ROE is 48.4665 and for ROA is 11.4607 for the variables studied. In contrast, the standard deviations for investment in renewable technologies (IRT)</w:t>
      </w:r>
      <w:commentRangeStart w:id="11"/>
      <w:r>
        <w:rPr>
          <w:rFonts w:ascii="Times New Roman" w:hAnsi="Times New Roman" w:cs="Times New Roman"/>
          <w:sz w:val="24"/>
          <w:szCs w:val="24"/>
        </w:rPr>
        <w:t xml:space="preserve">, </w:t>
      </w:r>
      <w:commentRangeEnd w:id="11"/>
      <w:r>
        <w:rPr>
          <w:rStyle w:val="8"/>
        </w:rPr>
        <w:commentReference w:id="11"/>
      </w:r>
      <w:r>
        <w:rPr>
          <w:rFonts w:ascii="Times New Roman" w:hAnsi="Times New Roman" w:cs="Times New Roman"/>
          <w:sz w:val="24"/>
          <w:szCs w:val="24"/>
        </w:rPr>
        <w:t xml:space="preserve">investment in energy-efficient technologies </w:t>
      </w:r>
      <w:commentRangeStart w:id="12"/>
      <w:r>
        <w:rPr>
          <w:rFonts w:ascii="Times New Roman" w:hAnsi="Times New Roman" w:cs="Times New Roman"/>
          <w:sz w:val="24"/>
          <w:szCs w:val="24"/>
        </w:rPr>
        <w:t xml:space="preserve">(EET), </w:t>
      </w:r>
      <w:commentRangeEnd w:id="12"/>
      <w:r>
        <w:rPr>
          <w:rStyle w:val="8"/>
        </w:rPr>
        <w:commentReference w:id="12"/>
      </w:r>
      <w:r>
        <w:rPr>
          <w:rFonts w:ascii="Times New Roman" w:hAnsi="Times New Roman" w:cs="Times New Roman"/>
          <w:sz w:val="24"/>
          <w:szCs w:val="24"/>
        </w:rPr>
        <w:t xml:space="preserve">and investment in recyclable and sustainable materials </w:t>
      </w:r>
      <w:commentRangeStart w:id="13"/>
      <w:r>
        <w:rPr>
          <w:rFonts w:ascii="Times New Roman" w:hAnsi="Times New Roman" w:cs="Times New Roman"/>
          <w:sz w:val="24"/>
          <w:szCs w:val="24"/>
        </w:rPr>
        <w:t xml:space="preserve">(IRSM) </w:t>
      </w:r>
      <w:commentRangeEnd w:id="13"/>
      <w:r>
        <w:rPr>
          <w:rStyle w:val="8"/>
        </w:rPr>
        <w:commentReference w:id="13"/>
      </w:r>
      <w:r>
        <w:rPr>
          <w:rFonts w:ascii="Times New Roman" w:hAnsi="Times New Roman" w:cs="Times New Roman"/>
          <w:sz w:val="24"/>
          <w:szCs w:val="24"/>
        </w:rPr>
        <w:t xml:space="preserve">are 0.4011342, 0.4988955, and 0.5007874, respectively. Analyzing the mean and standard deviation, it is clear that the return on assets and return on equity for the selected Sri Lankan enterprises in the manufacturing area are modest. However, investment in green technology and sustainable practices, as reflected </w:t>
      </w:r>
      <w:commentRangeStart w:id="14"/>
      <w:r>
        <w:rPr>
          <w:rFonts w:ascii="Times New Roman" w:hAnsi="Times New Roman" w:cs="Times New Roman"/>
          <w:sz w:val="24"/>
          <w:szCs w:val="24"/>
        </w:rPr>
        <w:t>by IRT, EET, and IRSM</w:t>
      </w:r>
      <w:commentRangeEnd w:id="14"/>
      <w:r>
        <w:rPr>
          <w:rStyle w:val="8"/>
        </w:rPr>
        <w:commentReference w:id="14"/>
      </w:r>
      <w:r>
        <w:rPr>
          <w:rFonts w:ascii="Times New Roman" w:hAnsi="Times New Roman" w:cs="Times New Roman"/>
          <w:sz w:val="24"/>
          <w:szCs w:val="24"/>
        </w:rPr>
        <w:t xml:space="preserve">, demonstrates a very low level of transparency among these firms.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 quantitative research, inferential statistics, as opposed to descriptive statistics, which focuses on summarizing features of a sample group, goes beyond and uses summarized data to make predictions about the larger population. Inferential statistics, in essence, allows researchers to draw conclusions and develop generalizations based on data acquired from a sample, hence extending its implications to the wider population. Inferential statistics are a helpful tool for evaluating and interpreting quantitative data since they allow for a better understanding and greater applicability of research findings.</w:t>
      </w:r>
    </w:p>
    <w:p>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Table 02: Correlation Matrix</w:t>
      </w:r>
    </w:p>
    <w:tbl>
      <w:tblPr>
        <w:tblStyle w:val="5"/>
        <w:tblW w:w="0" w:type="auto"/>
        <w:tblInd w:w="442" w:type="dxa"/>
        <w:tblLayout w:type="fixed"/>
        <w:tblCellMar>
          <w:top w:w="0" w:type="dxa"/>
          <w:left w:w="0" w:type="dxa"/>
          <w:bottom w:w="0" w:type="dxa"/>
          <w:right w:w="0" w:type="dxa"/>
        </w:tblCellMar>
      </w:tblPr>
      <w:tblGrid>
        <w:gridCol w:w="1490"/>
        <w:gridCol w:w="1155"/>
        <w:gridCol w:w="1048"/>
        <w:gridCol w:w="993"/>
        <w:gridCol w:w="993"/>
        <w:gridCol w:w="831"/>
      </w:tblGrid>
      <w:tr>
        <w:tblPrEx>
          <w:tblCellMar>
            <w:top w:w="0" w:type="dxa"/>
            <w:left w:w="0" w:type="dxa"/>
            <w:bottom w:w="0" w:type="dxa"/>
            <w:right w:w="0" w:type="dxa"/>
          </w:tblCellMar>
        </w:tblPrEx>
        <w:trPr>
          <w:trHeight w:val="285" w:hRule="atLeast"/>
        </w:trPr>
        <w:tc>
          <w:tcPr>
            <w:tcW w:w="1490" w:type="dxa"/>
            <w:tcBorders>
              <w:bottom w:val="single" w:color="000000" w:sz="4" w:space="0"/>
              <w:right w:val="single" w:color="000000" w:sz="4" w:space="0"/>
            </w:tcBorders>
          </w:tcPr>
          <w:p>
            <w:pPr>
              <w:pStyle w:val="22"/>
              <w:spacing w:line="360" w:lineRule="auto"/>
              <w:rPr>
                <w:sz w:val="24"/>
                <w:szCs w:val="24"/>
              </w:rPr>
            </w:pPr>
          </w:p>
        </w:tc>
        <w:tc>
          <w:tcPr>
            <w:tcW w:w="1155" w:type="dxa"/>
            <w:tcBorders>
              <w:left w:val="single" w:color="000000" w:sz="4" w:space="0"/>
              <w:bottom w:val="single" w:color="000000" w:sz="4" w:space="0"/>
            </w:tcBorders>
          </w:tcPr>
          <w:p>
            <w:pPr>
              <w:pStyle w:val="22"/>
              <w:spacing w:before="2" w:line="360" w:lineRule="auto"/>
              <w:ind w:right="110"/>
              <w:jc w:val="center"/>
              <w:rPr>
                <w:sz w:val="24"/>
                <w:szCs w:val="24"/>
              </w:rPr>
            </w:pPr>
            <w:r>
              <w:rPr>
                <w:sz w:val="24"/>
                <w:szCs w:val="24"/>
              </w:rPr>
              <w:t>ROE</w:t>
            </w:r>
            <w:r>
              <w:rPr>
                <w:rStyle w:val="8"/>
                <w:rFonts w:cs="Latha" w:asciiTheme="minorHAnsi" w:hAnsiTheme="minorHAnsi" w:eastAsiaTheme="minorHAnsi"/>
                <w:lang w:bidi="ta-IN"/>
              </w:rPr>
              <w:commentReference w:id="15"/>
            </w:r>
          </w:p>
        </w:tc>
        <w:tc>
          <w:tcPr>
            <w:tcW w:w="1048" w:type="dxa"/>
            <w:tcBorders>
              <w:bottom w:val="single" w:color="000000" w:sz="4" w:space="0"/>
            </w:tcBorders>
          </w:tcPr>
          <w:p>
            <w:pPr>
              <w:pStyle w:val="22"/>
              <w:spacing w:before="2" w:line="360" w:lineRule="auto"/>
              <w:ind w:right="165"/>
              <w:jc w:val="center"/>
              <w:rPr>
                <w:sz w:val="24"/>
                <w:szCs w:val="24"/>
              </w:rPr>
            </w:pPr>
            <w:r>
              <w:rPr>
                <w:sz w:val="24"/>
                <w:szCs w:val="24"/>
              </w:rPr>
              <w:t>ROA</w:t>
            </w:r>
          </w:p>
        </w:tc>
        <w:tc>
          <w:tcPr>
            <w:tcW w:w="993" w:type="dxa"/>
            <w:tcBorders>
              <w:bottom w:val="single" w:color="000000" w:sz="4" w:space="0"/>
            </w:tcBorders>
          </w:tcPr>
          <w:p>
            <w:pPr>
              <w:pStyle w:val="22"/>
              <w:spacing w:before="2" w:line="360" w:lineRule="auto"/>
              <w:ind w:right="164"/>
              <w:jc w:val="center"/>
              <w:rPr>
                <w:sz w:val="24"/>
                <w:szCs w:val="24"/>
              </w:rPr>
            </w:pPr>
            <w:r>
              <w:rPr>
                <w:sz w:val="24"/>
                <w:szCs w:val="24"/>
              </w:rPr>
              <w:t>IRT</w:t>
            </w:r>
          </w:p>
        </w:tc>
        <w:tc>
          <w:tcPr>
            <w:tcW w:w="993" w:type="dxa"/>
            <w:tcBorders>
              <w:bottom w:val="single" w:color="000000" w:sz="4" w:space="0"/>
            </w:tcBorders>
          </w:tcPr>
          <w:p>
            <w:pPr>
              <w:pStyle w:val="22"/>
              <w:spacing w:before="2" w:line="360" w:lineRule="auto"/>
              <w:ind w:right="164"/>
              <w:jc w:val="center"/>
              <w:rPr>
                <w:sz w:val="24"/>
                <w:szCs w:val="24"/>
              </w:rPr>
            </w:pPr>
            <w:r>
              <w:rPr>
                <w:sz w:val="24"/>
                <w:szCs w:val="24"/>
              </w:rPr>
              <w:t>EET</w:t>
            </w:r>
          </w:p>
        </w:tc>
        <w:tc>
          <w:tcPr>
            <w:tcW w:w="831" w:type="dxa"/>
            <w:tcBorders>
              <w:bottom w:val="single" w:color="000000" w:sz="4" w:space="0"/>
            </w:tcBorders>
          </w:tcPr>
          <w:p>
            <w:pPr>
              <w:pStyle w:val="22"/>
              <w:spacing w:before="2" w:line="360" w:lineRule="auto"/>
              <w:ind w:right="2"/>
              <w:jc w:val="center"/>
              <w:rPr>
                <w:sz w:val="24"/>
                <w:szCs w:val="24"/>
              </w:rPr>
            </w:pPr>
            <w:r>
              <w:rPr>
                <w:sz w:val="24"/>
                <w:szCs w:val="24"/>
              </w:rPr>
              <w:t>IRSM</w:t>
            </w:r>
          </w:p>
        </w:tc>
      </w:tr>
      <w:tr>
        <w:tblPrEx>
          <w:tblCellMar>
            <w:top w:w="0" w:type="dxa"/>
            <w:left w:w="0" w:type="dxa"/>
            <w:bottom w:w="0" w:type="dxa"/>
            <w:right w:w="0" w:type="dxa"/>
          </w:tblCellMar>
        </w:tblPrEx>
        <w:trPr>
          <w:trHeight w:val="287" w:hRule="atLeast"/>
        </w:trPr>
        <w:tc>
          <w:tcPr>
            <w:tcW w:w="1490" w:type="dxa"/>
            <w:tcBorders>
              <w:top w:val="single" w:color="000000" w:sz="4" w:space="0"/>
              <w:right w:val="single" w:color="000000" w:sz="4" w:space="0"/>
            </w:tcBorders>
          </w:tcPr>
          <w:p>
            <w:pPr>
              <w:pStyle w:val="22"/>
              <w:spacing w:line="360" w:lineRule="auto"/>
              <w:rPr>
                <w:sz w:val="24"/>
                <w:szCs w:val="24"/>
              </w:rPr>
            </w:pPr>
            <w:r>
              <w:rPr>
                <w:sz w:val="24"/>
                <w:szCs w:val="24"/>
              </w:rPr>
              <w:t>ROE</w:t>
            </w:r>
          </w:p>
        </w:tc>
        <w:tc>
          <w:tcPr>
            <w:tcW w:w="1155" w:type="dxa"/>
            <w:tcBorders>
              <w:top w:val="single" w:color="000000" w:sz="4" w:space="0"/>
              <w:left w:val="single" w:color="000000" w:sz="4" w:space="0"/>
            </w:tcBorders>
          </w:tcPr>
          <w:p>
            <w:pPr>
              <w:pStyle w:val="22"/>
              <w:spacing w:line="360" w:lineRule="auto"/>
              <w:rPr>
                <w:sz w:val="24"/>
                <w:szCs w:val="24"/>
              </w:rPr>
            </w:pPr>
            <w:r>
              <w:rPr>
                <w:sz w:val="24"/>
                <w:szCs w:val="24"/>
              </w:rPr>
              <w:t>1.0000</w:t>
            </w:r>
          </w:p>
        </w:tc>
        <w:tc>
          <w:tcPr>
            <w:tcW w:w="1048" w:type="dxa"/>
            <w:tcBorders>
              <w:top w:val="single" w:color="000000" w:sz="4" w:space="0"/>
            </w:tcBorders>
          </w:tcPr>
          <w:p>
            <w:pPr>
              <w:pStyle w:val="22"/>
              <w:spacing w:line="360" w:lineRule="auto"/>
              <w:rPr>
                <w:sz w:val="24"/>
                <w:szCs w:val="24"/>
              </w:rPr>
            </w:pPr>
          </w:p>
        </w:tc>
        <w:tc>
          <w:tcPr>
            <w:tcW w:w="993" w:type="dxa"/>
            <w:tcBorders>
              <w:top w:val="single" w:color="000000" w:sz="4" w:space="0"/>
            </w:tcBorders>
          </w:tcPr>
          <w:p>
            <w:pPr>
              <w:pStyle w:val="22"/>
              <w:spacing w:line="360" w:lineRule="auto"/>
              <w:rPr>
                <w:sz w:val="24"/>
                <w:szCs w:val="24"/>
              </w:rPr>
            </w:pPr>
          </w:p>
        </w:tc>
        <w:tc>
          <w:tcPr>
            <w:tcW w:w="993" w:type="dxa"/>
            <w:tcBorders>
              <w:top w:val="single" w:color="000000" w:sz="4" w:space="0"/>
            </w:tcBorders>
          </w:tcPr>
          <w:p>
            <w:pPr>
              <w:pStyle w:val="22"/>
              <w:spacing w:line="360" w:lineRule="auto"/>
              <w:rPr>
                <w:sz w:val="24"/>
                <w:szCs w:val="24"/>
              </w:rPr>
            </w:pPr>
          </w:p>
        </w:tc>
        <w:tc>
          <w:tcPr>
            <w:tcW w:w="831" w:type="dxa"/>
            <w:tcBorders>
              <w:top w:val="single" w:color="000000" w:sz="4" w:space="0"/>
            </w:tcBorders>
          </w:tcPr>
          <w:p>
            <w:pPr>
              <w:pStyle w:val="22"/>
              <w:spacing w:line="360" w:lineRule="auto"/>
              <w:rPr>
                <w:sz w:val="24"/>
                <w:szCs w:val="24"/>
              </w:rPr>
            </w:pPr>
          </w:p>
        </w:tc>
      </w:tr>
      <w:tr>
        <w:trPr>
          <w:trHeight w:val="194" w:hRule="atLeast"/>
        </w:trPr>
        <w:tc>
          <w:tcPr>
            <w:tcW w:w="1490" w:type="dxa"/>
            <w:tcBorders>
              <w:right w:val="single" w:color="000000" w:sz="4" w:space="0"/>
            </w:tcBorders>
          </w:tcPr>
          <w:p>
            <w:pPr>
              <w:pStyle w:val="22"/>
              <w:spacing w:line="360" w:lineRule="auto"/>
              <w:rPr>
                <w:sz w:val="24"/>
                <w:szCs w:val="24"/>
              </w:rPr>
            </w:pPr>
            <w:r>
              <w:rPr>
                <w:sz w:val="24"/>
                <w:szCs w:val="24"/>
              </w:rPr>
              <w:t>ROA</w:t>
            </w:r>
          </w:p>
        </w:tc>
        <w:tc>
          <w:tcPr>
            <w:tcW w:w="1155" w:type="dxa"/>
            <w:tcBorders>
              <w:left w:val="single" w:color="000000" w:sz="4" w:space="0"/>
            </w:tcBorders>
          </w:tcPr>
          <w:p>
            <w:pPr>
              <w:pStyle w:val="22"/>
              <w:spacing w:line="360" w:lineRule="auto"/>
              <w:rPr>
                <w:sz w:val="24"/>
                <w:szCs w:val="24"/>
              </w:rPr>
            </w:pPr>
            <w:r>
              <w:rPr>
                <w:sz w:val="24"/>
                <w:szCs w:val="24"/>
              </w:rPr>
              <w:t>0.5149</w:t>
            </w:r>
          </w:p>
        </w:tc>
        <w:tc>
          <w:tcPr>
            <w:tcW w:w="1048" w:type="dxa"/>
          </w:tcPr>
          <w:p>
            <w:pPr>
              <w:pStyle w:val="22"/>
              <w:spacing w:line="360" w:lineRule="auto"/>
              <w:rPr>
                <w:sz w:val="24"/>
                <w:szCs w:val="24"/>
              </w:rPr>
            </w:pPr>
            <w:r>
              <w:rPr>
                <w:sz w:val="24"/>
                <w:szCs w:val="24"/>
              </w:rPr>
              <w:t>1.0000</w:t>
            </w:r>
          </w:p>
        </w:tc>
        <w:tc>
          <w:tcPr>
            <w:tcW w:w="993" w:type="dxa"/>
          </w:tcPr>
          <w:p>
            <w:pPr>
              <w:pStyle w:val="22"/>
              <w:spacing w:line="360" w:lineRule="auto"/>
              <w:rPr>
                <w:sz w:val="24"/>
                <w:szCs w:val="24"/>
              </w:rPr>
            </w:pPr>
          </w:p>
        </w:tc>
        <w:tc>
          <w:tcPr>
            <w:tcW w:w="993" w:type="dxa"/>
          </w:tcPr>
          <w:p>
            <w:pPr>
              <w:pStyle w:val="22"/>
              <w:spacing w:line="360" w:lineRule="auto"/>
              <w:rPr>
                <w:sz w:val="24"/>
                <w:szCs w:val="24"/>
              </w:rPr>
            </w:pPr>
          </w:p>
        </w:tc>
        <w:tc>
          <w:tcPr>
            <w:tcW w:w="831" w:type="dxa"/>
          </w:tcPr>
          <w:p>
            <w:pPr>
              <w:pStyle w:val="22"/>
              <w:spacing w:line="360" w:lineRule="auto"/>
              <w:rPr>
                <w:sz w:val="24"/>
                <w:szCs w:val="24"/>
              </w:rPr>
            </w:pPr>
          </w:p>
        </w:tc>
      </w:tr>
      <w:tr>
        <w:tblPrEx>
          <w:tblCellMar>
            <w:top w:w="0" w:type="dxa"/>
            <w:left w:w="0" w:type="dxa"/>
            <w:bottom w:w="0" w:type="dxa"/>
            <w:right w:w="0" w:type="dxa"/>
          </w:tblCellMar>
        </w:tblPrEx>
        <w:trPr>
          <w:trHeight w:val="194" w:hRule="atLeast"/>
        </w:trPr>
        <w:tc>
          <w:tcPr>
            <w:tcW w:w="1490" w:type="dxa"/>
            <w:tcBorders>
              <w:right w:val="single" w:color="000000" w:sz="4" w:space="0"/>
            </w:tcBorders>
          </w:tcPr>
          <w:p>
            <w:pPr>
              <w:pStyle w:val="22"/>
              <w:spacing w:line="360" w:lineRule="auto"/>
              <w:rPr>
                <w:sz w:val="24"/>
                <w:szCs w:val="24"/>
              </w:rPr>
            </w:pPr>
            <w:r>
              <w:rPr>
                <w:sz w:val="24"/>
                <w:szCs w:val="24"/>
              </w:rPr>
              <w:t>IRT</w:t>
            </w:r>
          </w:p>
        </w:tc>
        <w:tc>
          <w:tcPr>
            <w:tcW w:w="1155" w:type="dxa"/>
            <w:tcBorders>
              <w:left w:val="single" w:color="000000" w:sz="4" w:space="0"/>
            </w:tcBorders>
          </w:tcPr>
          <w:p>
            <w:pPr>
              <w:pStyle w:val="22"/>
              <w:spacing w:line="360" w:lineRule="auto"/>
              <w:rPr>
                <w:sz w:val="24"/>
                <w:szCs w:val="24"/>
              </w:rPr>
            </w:pPr>
            <w:r>
              <w:rPr>
                <w:sz w:val="24"/>
                <w:szCs w:val="24"/>
              </w:rPr>
              <w:t>-0.0420</w:t>
            </w:r>
          </w:p>
        </w:tc>
        <w:tc>
          <w:tcPr>
            <w:tcW w:w="1048" w:type="dxa"/>
          </w:tcPr>
          <w:p>
            <w:pPr>
              <w:pStyle w:val="22"/>
              <w:spacing w:line="360" w:lineRule="auto"/>
              <w:rPr>
                <w:sz w:val="24"/>
                <w:szCs w:val="24"/>
              </w:rPr>
            </w:pPr>
            <w:r>
              <w:rPr>
                <w:sz w:val="24"/>
                <w:szCs w:val="24"/>
              </w:rPr>
              <w:t>0.0495</w:t>
            </w:r>
          </w:p>
        </w:tc>
        <w:tc>
          <w:tcPr>
            <w:tcW w:w="993" w:type="dxa"/>
          </w:tcPr>
          <w:p>
            <w:pPr>
              <w:pStyle w:val="22"/>
              <w:spacing w:line="360" w:lineRule="auto"/>
              <w:rPr>
                <w:sz w:val="24"/>
                <w:szCs w:val="24"/>
              </w:rPr>
            </w:pPr>
            <w:r>
              <w:rPr>
                <w:sz w:val="24"/>
                <w:szCs w:val="24"/>
              </w:rPr>
              <w:t>1.0000</w:t>
            </w:r>
          </w:p>
        </w:tc>
        <w:tc>
          <w:tcPr>
            <w:tcW w:w="993" w:type="dxa"/>
          </w:tcPr>
          <w:p>
            <w:pPr>
              <w:pStyle w:val="22"/>
              <w:spacing w:line="360" w:lineRule="auto"/>
              <w:rPr>
                <w:sz w:val="24"/>
                <w:szCs w:val="24"/>
              </w:rPr>
            </w:pPr>
          </w:p>
        </w:tc>
        <w:tc>
          <w:tcPr>
            <w:tcW w:w="831" w:type="dxa"/>
          </w:tcPr>
          <w:p>
            <w:pPr>
              <w:pStyle w:val="22"/>
              <w:spacing w:line="360" w:lineRule="auto"/>
              <w:rPr>
                <w:sz w:val="24"/>
                <w:szCs w:val="24"/>
              </w:rPr>
            </w:pPr>
          </w:p>
        </w:tc>
      </w:tr>
      <w:tr>
        <w:trPr>
          <w:trHeight w:val="194" w:hRule="atLeast"/>
        </w:trPr>
        <w:tc>
          <w:tcPr>
            <w:tcW w:w="1490" w:type="dxa"/>
            <w:tcBorders>
              <w:right w:val="single" w:color="000000" w:sz="4" w:space="0"/>
            </w:tcBorders>
          </w:tcPr>
          <w:p>
            <w:pPr>
              <w:pStyle w:val="22"/>
              <w:spacing w:line="360" w:lineRule="auto"/>
              <w:rPr>
                <w:sz w:val="24"/>
                <w:szCs w:val="24"/>
              </w:rPr>
            </w:pPr>
            <w:r>
              <w:rPr>
                <w:sz w:val="24"/>
                <w:szCs w:val="24"/>
              </w:rPr>
              <w:t>EET</w:t>
            </w:r>
          </w:p>
        </w:tc>
        <w:tc>
          <w:tcPr>
            <w:tcW w:w="1155" w:type="dxa"/>
            <w:tcBorders>
              <w:left w:val="single" w:color="000000" w:sz="4" w:space="0"/>
            </w:tcBorders>
          </w:tcPr>
          <w:p>
            <w:pPr>
              <w:pStyle w:val="22"/>
              <w:spacing w:line="360" w:lineRule="auto"/>
              <w:rPr>
                <w:sz w:val="24"/>
                <w:szCs w:val="24"/>
              </w:rPr>
            </w:pPr>
            <w:r>
              <w:rPr>
                <w:sz w:val="24"/>
                <w:szCs w:val="24"/>
              </w:rPr>
              <w:t>-0.0520</w:t>
            </w:r>
          </w:p>
        </w:tc>
        <w:tc>
          <w:tcPr>
            <w:tcW w:w="1048" w:type="dxa"/>
          </w:tcPr>
          <w:p>
            <w:pPr>
              <w:pStyle w:val="22"/>
              <w:spacing w:line="360" w:lineRule="auto"/>
              <w:rPr>
                <w:sz w:val="24"/>
                <w:szCs w:val="24"/>
              </w:rPr>
            </w:pPr>
            <w:r>
              <w:rPr>
                <w:sz w:val="24"/>
                <w:szCs w:val="24"/>
              </w:rPr>
              <w:t>0.0604</w:t>
            </w:r>
          </w:p>
        </w:tc>
        <w:tc>
          <w:tcPr>
            <w:tcW w:w="993" w:type="dxa"/>
          </w:tcPr>
          <w:p>
            <w:pPr>
              <w:pStyle w:val="22"/>
              <w:spacing w:line="360" w:lineRule="auto"/>
              <w:rPr>
                <w:sz w:val="24"/>
                <w:szCs w:val="24"/>
              </w:rPr>
            </w:pPr>
            <w:r>
              <w:rPr>
                <w:sz w:val="24"/>
                <w:szCs w:val="24"/>
              </w:rPr>
              <w:t>0.3454</w:t>
            </w:r>
          </w:p>
        </w:tc>
        <w:tc>
          <w:tcPr>
            <w:tcW w:w="993" w:type="dxa"/>
          </w:tcPr>
          <w:p>
            <w:pPr>
              <w:pStyle w:val="22"/>
              <w:spacing w:line="360" w:lineRule="auto"/>
              <w:rPr>
                <w:sz w:val="24"/>
                <w:szCs w:val="24"/>
              </w:rPr>
            </w:pPr>
            <w:r>
              <w:rPr>
                <w:sz w:val="24"/>
                <w:szCs w:val="24"/>
              </w:rPr>
              <w:t>1.0000</w:t>
            </w:r>
          </w:p>
        </w:tc>
        <w:tc>
          <w:tcPr>
            <w:tcW w:w="831" w:type="dxa"/>
          </w:tcPr>
          <w:p>
            <w:pPr>
              <w:pStyle w:val="22"/>
              <w:spacing w:line="360" w:lineRule="auto"/>
              <w:rPr>
                <w:sz w:val="24"/>
                <w:szCs w:val="24"/>
              </w:rPr>
            </w:pPr>
          </w:p>
        </w:tc>
      </w:tr>
      <w:tr>
        <w:tblPrEx>
          <w:tblCellMar>
            <w:top w:w="0" w:type="dxa"/>
            <w:left w:w="0" w:type="dxa"/>
            <w:bottom w:w="0" w:type="dxa"/>
            <w:right w:w="0" w:type="dxa"/>
          </w:tblCellMar>
        </w:tblPrEx>
        <w:trPr>
          <w:trHeight w:val="195" w:hRule="atLeast"/>
        </w:trPr>
        <w:tc>
          <w:tcPr>
            <w:tcW w:w="1490" w:type="dxa"/>
            <w:tcBorders>
              <w:right w:val="single" w:color="000000" w:sz="4" w:space="0"/>
            </w:tcBorders>
          </w:tcPr>
          <w:p>
            <w:pPr>
              <w:pStyle w:val="22"/>
              <w:spacing w:line="360" w:lineRule="auto"/>
              <w:rPr>
                <w:sz w:val="24"/>
                <w:szCs w:val="24"/>
              </w:rPr>
            </w:pPr>
            <w:r>
              <w:rPr>
                <w:sz w:val="24"/>
                <w:szCs w:val="24"/>
              </w:rPr>
              <w:t>IRSM</w:t>
            </w:r>
          </w:p>
        </w:tc>
        <w:tc>
          <w:tcPr>
            <w:tcW w:w="1155" w:type="dxa"/>
            <w:tcBorders>
              <w:left w:val="single" w:color="000000" w:sz="4" w:space="0"/>
            </w:tcBorders>
          </w:tcPr>
          <w:p>
            <w:pPr>
              <w:pStyle w:val="22"/>
              <w:spacing w:line="360" w:lineRule="auto"/>
              <w:rPr>
                <w:sz w:val="24"/>
                <w:szCs w:val="24"/>
              </w:rPr>
            </w:pPr>
            <w:r>
              <w:rPr>
                <w:sz w:val="24"/>
                <w:szCs w:val="24"/>
              </w:rPr>
              <w:t>-0.1130</w:t>
            </w:r>
          </w:p>
        </w:tc>
        <w:tc>
          <w:tcPr>
            <w:tcW w:w="1048" w:type="dxa"/>
          </w:tcPr>
          <w:p>
            <w:pPr>
              <w:pStyle w:val="22"/>
              <w:spacing w:line="360" w:lineRule="auto"/>
              <w:rPr>
                <w:sz w:val="24"/>
                <w:szCs w:val="24"/>
              </w:rPr>
            </w:pPr>
            <w:r>
              <w:rPr>
                <w:sz w:val="24"/>
                <w:szCs w:val="24"/>
              </w:rPr>
              <w:t>-0.0289</w:t>
            </w:r>
          </w:p>
        </w:tc>
        <w:tc>
          <w:tcPr>
            <w:tcW w:w="993" w:type="dxa"/>
          </w:tcPr>
          <w:p>
            <w:pPr>
              <w:pStyle w:val="22"/>
              <w:spacing w:line="360" w:lineRule="auto"/>
              <w:rPr>
                <w:sz w:val="24"/>
                <w:szCs w:val="24"/>
              </w:rPr>
            </w:pPr>
            <w:r>
              <w:rPr>
                <w:sz w:val="24"/>
                <w:szCs w:val="24"/>
              </w:rPr>
              <w:t>0.3184</w:t>
            </w:r>
          </w:p>
        </w:tc>
        <w:tc>
          <w:tcPr>
            <w:tcW w:w="993" w:type="dxa"/>
          </w:tcPr>
          <w:p>
            <w:pPr>
              <w:pStyle w:val="22"/>
              <w:spacing w:line="360" w:lineRule="auto"/>
              <w:rPr>
                <w:sz w:val="24"/>
                <w:szCs w:val="24"/>
              </w:rPr>
            </w:pPr>
            <w:r>
              <w:rPr>
                <w:sz w:val="24"/>
                <w:szCs w:val="24"/>
              </w:rPr>
              <w:t>0.5482</w:t>
            </w:r>
          </w:p>
        </w:tc>
        <w:tc>
          <w:tcPr>
            <w:tcW w:w="831" w:type="dxa"/>
          </w:tcPr>
          <w:p>
            <w:pPr>
              <w:pStyle w:val="22"/>
              <w:spacing w:line="360" w:lineRule="auto"/>
              <w:rPr>
                <w:sz w:val="24"/>
                <w:szCs w:val="24"/>
              </w:rPr>
            </w:pPr>
            <w:r>
              <w:rPr>
                <w:sz w:val="24"/>
                <w:szCs w:val="24"/>
              </w:rPr>
              <w:t>1.0000</w:t>
            </w:r>
          </w:p>
        </w:tc>
      </w:tr>
    </w:tbl>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table is a correlation matrix that shows the relationships between the following variables: ROE (Return on Equity), ROA (Return on Assets), IRT </w:t>
      </w:r>
      <w:commentRangeStart w:id="16"/>
      <w:r>
        <w:rPr>
          <w:rFonts w:ascii="Times New Roman" w:hAnsi="Times New Roman" w:cs="Times New Roman"/>
          <w:sz w:val="24"/>
          <w:szCs w:val="24"/>
        </w:rPr>
        <w:t xml:space="preserve">(Interest Rate), </w:t>
      </w:r>
      <w:commentRangeEnd w:id="16"/>
      <w:r>
        <w:rPr>
          <w:rStyle w:val="8"/>
        </w:rPr>
        <w:commentReference w:id="16"/>
      </w:r>
      <w:r>
        <w:rPr>
          <w:rFonts w:ascii="Times New Roman" w:hAnsi="Times New Roman" w:cs="Times New Roman"/>
          <w:sz w:val="24"/>
          <w:szCs w:val="24"/>
        </w:rPr>
        <w:t xml:space="preserve">EET </w:t>
      </w:r>
      <w:commentRangeStart w:id="17"/>
      <w:r>
        <w:rPr>
          <w:rFonts w:ascii="Times New Roman" w:hAnsi="Times New Roman" w:cs="Times New Roman"/>
          <w:sz w:val="24"/>
          <w:szCs w:val="24"/>
        </w:rPr>
        <w:t xml:space="preserve">(Energy-Efficient Technologies), </w:t>
      </w:r>
      <w:commentRangeEnd w:id="17"/>
      <w:r>
        <w:rPr>
          <w:rStyle w:val="8"/>
        </w:rPr>
        <w:commentReference w:id="17"/>
      </w:r>
      <w:r>
        <w:rPr>
          <w:rFonts w:ascii="Times New Roman" w:hAnsi="Times New Roman" w:cs="Times New Roman"/>
          <w:sz w:val="24"/>
          <w:szCs w:val="24"/>
        </w:rPr>
        <w:t xml:space="preserve">and IRSM </w:t>
      </w:r>
      <w:commentRangeStart w:id="18"/>
      <w:r>
        <w:rPr>
          <w:rFonts w:ascii="Times New Roman" w:hAnsi="Times New Roman" w:cs="Times New Roman"/>
          <w:sz w:val="24"/>
          <w:szCs w:val="24"/>
        </w:rPr>
        <w:t>(Interest Rate Spread to Market</w:t>
      </w:r>
      <w:commentRangeEnd w:id="18"/>
      <w:r>
        <w:rPr>
          <w:rStyle w:val="8"/>
        </w:rPr>
        <w:commentReference w:id="18"/>
      </w:r>
      <w:r>
        <w:rPr>
          <w:rFonts w:ascii="Times New Roman" w:hAnsi="Times New Roman" w:cs="Times New Roman"/>
          <w:sz w:val="24"/>
          <w:szCs w:val="24"/>
        </w:rPr>
        <w:t>). The correlation coefficients in the table vary from -1.0000 to 1.0000, reflecting the strength and direction of the correlations between the variables. The correlation coefficient between ROE and ROA is 0.5149, showing a positive and moderate relationship between Return on Equity and Return on Assets. The correlation coefficient between ROE and IRT is -0.0420, indicating a weak and negative relationship between Return on Equity and Interest Rate. The correlation value between ROE and EET is -0.0520, demonstrating a weak and negative relationship between Return on Equity and Effective Tax Rate. The correlation coefficient between ROE and IRSM is -0.1130, indicating a weak and negative link between Return on Equity and Interest Rate Spread to Market.</w:t>
      </w:r>
    </w:p>
    <w:p>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 03: </w:t>
      </w:r>
      <w:commentRangeStart w:id="19"/>
      <w:r>
        <w:rPr>
          <w:rFonts w:ascii="Times New Roman" w:hAnsi="Times New Roman" w:cs="Times New Roman"/>
          <w:b/>
          <w:bCs/>
          <w:sz w:val="24"/>
          <w:szCs w:val="24"/>
        </w:rPr>
        <w:t xml:space="preserve">Hausman Test </w:t>
      </w:r>
      <w:commentRangeEnd w:id="19"/>
      <w:r>
        <w:rPr>
          <w:rStyle w:val="8"/>
        </w:rPr>
        <w:commentReference w:id="19"/>
      </w:r>
    </w:p>
    <w:tbl>
      <w:tblPr>
        <w:tblStyle w:val="5"/>
        <w:tblW w:w="8610" w:type="dxa"/>
        <w:tblInd w:w="0" w:type="dxa"/>
        <w:tblLayout w:type="fixed"/>
        <w:tblCellMar>
          <w:top w:w="0" w:type="dxa"/>
          <w:left w:w="0" w:type="dxa"/>
          <w:bottom w:w="0" w:type="dxa"/>
          <w:right w:w="0" w:type="dxa"/>
        </w:tblCellMar>
      </w:tblPr>
      <w:tblGrid>
        <w:gridCol w:w="1490"/>
        <w:gridCol w:w="1597"/>
        <w:gridCol w:w="1656"/>
        <w:gridCol w:w="1766"/>
        <w:gridCol w:w="2101"/>
      </w:tblGrid>
      <w:tr>
        <w:tblPrEx>
          <w:tblCellMar>
            <w:top w:w="0" w:type="dxa"/>
            <w:left w:w="0" w:type="dxa"/>
            <w:bottom w:w="0" w:type="dxa"/>
            <w:right w:w="0" w:type="dxa"/>
          </w:tblCellMar>
        </w:tblPrEx>
        <w:trPr>
          <w:trHeight w:val="287" w:hRule="atLeast"/>
        </w:trPr>
        <w:tc>
          <w:tcPr>
            <w:tcW w:w="1490" w:type="dxa"/>
            <w:tcBorders>
              <w:top w:val="single" w:color="000000" w:sz="4" w:space="0"/>
              <w:right w:val="single" w:color="000000" w:sz="4" w:space="0"/>
            </w:tcBorders>
          </w:tcPr>
          <w:p>
            <w:pPr>
              <w:pStyle w:val="22"/>
              <w:spacing w:line="360" w:lineRule="auto"/>
              <w:rPr>
                <w:sz w:val="24"/>
                <w:szCs w:val="24"/>
              </w:rPr>
            </w:pPr>
            <w:r>
              <w:rPr>
                <w:sz w:val="24"/>
                <w:szCs w:val="24"/>
              </w:rPr>
              <w:t>IRT</w:t>
            </w:r>
            <w:r>
              <w:rPr>
                <w:rStyle w:val="8"/>
                <w:rFonts w:cs="Latha" w:asciiTheme="minorHAnsi" w:hAnsiTheme="minorHAnsi" w:eastAsiaTheme="minorHAnsi"/>
                <w:lang w:bidi="ta-IN"/>
              </w:rPr>
              <w:commentReference w:id="20"/>
            </w:r>
          </w:p>
        </w:tc>
        <w:tc>
          <w:tcPr>
            <w:tcW w:w="1597" w:type="dxa"/>
            <w:tcBorders>
              <w:top w:val="single" w:color="000000" w:sz="4" w:space="0"/>
              <w:left w:val="single" w:color="000000" w:sz="4" w:space="0"/>
            </w:tcBorders>
          </w:tcPr>
          <w:p>
            <w:pPr>
              <w:pStyle w:val="22"/>
              <w:spacing w:line="360" w:lineRule="auto"/>
              <w:rPr>
                <w:sz w:val="24"/>
                <w:szCs w:val="24"/>
              </w:rPr>
            </w:pPr>
            <w:r>
              <w:rPr>
                <w:sz w:val="24"/>
                <w:szCs w:val="24"/>
              </w:rPr>
              <w:t>2.679088</w:t>
            </w:r>
          </w:p>
        </w:tc>
        <w:tc>
          <w:tcPr>
            <w:tcW w:w="1656" w:type="dxa"/>
            <w:tcBorders>
              <w:top w:val="single" w:color="000000" w:sz="4" w:space="0"/>
            </w:tcBorders>
          </w:tcPr>
          <w:p>
            <w:pPr>
              <w:pStyle w:val="22"/>
              <w:spacing w:line="360" w:lineRule="auto"/>
              <w:rPr>
                <w:sz w:val="24"/>
                <w:szCs w:val="24"/>
              </w:rPr>
            </w:pPr>
            <w:r>
              <w:rPr>
                <w:sz w:val="24"/>
                <w:szCs w:val="24"/>
              </w:rPr>
              <w:t>2.160433</w:t>
            </w:r>
          </w:p>
        </w:tc>
        <w:tc>
          <w:tcPr>
            <w:tcW w:w="1766" w:type="dxa"/>
            <w:tcBorders>
              <w:top w:val="single" w:color="000000" w:sz="4" w:space="0"/>
            </w:tcBorders>
          </w:tcPr>
          <w:p>
            <w:pPr>
              <w:pStyle w:val="22"/>
              <w:spacing w:line="360" w:lineRule="auto"/>
              <w:rPr>
                <w:sz w:val="24"/>
                <w:szCs w:val="24"/>
              </w:rPr>
            </w:pPr>
            <w:r>
              <w:rPr>
                <w:sz w:val="24"/>
                <w:szCs w:val="24"/>
              </w:rPr>
              <w:t>.5186548</w:t>
            </w:r>
          </w:p>
        </w:tc>
        <w:tc>
          <w:tcPr>
            <w:tcW w:w="2101" w:type="dxa"/>
            <w:tcBorders>
              <w:top w:val="single" w:color="000000" w:sz="4" w:space="0"/>
            </w:tcBorders>
          </w:tcPr>
          <w:p>
            <w:pPr>
              <w:pStyle w:val="22"/>
              <w:spacing w:line="360" w:lineRule="auto"/>
              <w:ind w:left="446"/>
              <w:rPr>
                <w:sz w:val="24"/>
                <w:szCs w:val="24"/>
              </w:rPr>
            </w:pPr>
            <w:r>
              <w:rPr>
                <w:sz w:val="24"/>
                <w:szCs w:val="24"/>
              </w:rPr>
              <w:t>1.315022</w:t>
            </w:r>
          </w:p>
        </w:tc>
      </w:tr>
      <w:tr>
        <w:tblPrEx>
          <w:tblCellMar>
            <w:top w:w="0" w:type="dxa"/>
            <w:left w:w="0" w:type="dxa"/>
            <w:bottom w:w="0" w:type="dxa"/>
            <w:right w:w="0" w:type="dxa"/>
          </w:tblCellMar>
        </w:tblPrEx>
        <w:trPr>
          <w:trHeight w:val="194" w:hRule="atLeast"/>
        </w:trPr>
        <w:tc>
          <w:tcPr>
            <w:tcW w:w="1490" w:type="dxa"/>
            <w:tcBorders>
              <w:right w:val="single" w:color="000000" w:sz="4" w:space="0"/>
            </w:tcBorders>
          </w:tcPr>
          <w:p>
            <w:pPr>
              <w:pStyle w:val="22"/>
              <w:spacing w:line="360" w:lineRule="auto"/>
              <w:rPr>
                <w:sz w:val="24"/>
                <w:szCs w:val="24"/>
              </w:rPr>
            </w:pPr>
            <w:r>
              <w:rPr>
                <w:sz w:val="24"/>
                <w:szCs w:val="24"/>
              </w:rPr>
              <w:t>EET</w:t>
            </w:r>
          </w:p>
        </w:tc>
        <w:tc>
          <w:tcPr>
            <w:tcW w:w="1597" w:type="dxa"/>
            <w:tcBorders>
              <w:left w:val="single" w:color="000000" w:sz="4" w:space="0"/>
            </w:tcBorders>
          </w:tcPr>
          <w:p>
            <w:pPr>
              <w:pStyle w:val="22"/>
              <w:spacing w:line="360" w:lineRule="auto"/>
              <w:rPr>
                <w:sz w:val="24"/>
                <w:szCs w:val="24"/>
              </w:rPr>
            </w:pPr>
            <w:r>
              <w:rPr>
                <w:sz w:val="24"/>
                <w:szCs w:val="24"/>
              </w:rPr>
              <w:t>.973862</w:t>
            </w:r>
          </w:p>
        </w:tc>
        <w:tc>
          <w:tcPr>
            <w:tcW w:w="1656" w:type="dxa"/>
          </w:tcPr>
          <w:p>
            <w:pPr>
              <w:pStyle w:val="22"/>
              <w:spacing w:line="360" w:lineRule="auto"/>
              <w:rPr>
                <w:sz w:val="24"/>
                <w:szCs w:val="24"/>
              </w:rPr>
            </w:pPr>
            <w:r>
              <w:rPr>
                <w:sz w:val="24"/>
                <w:szCs w:val="24"/>
              </w:rPr>
              <w:t>.6624751</w:t>
            </w:r>
          </w:p>
        </w:tc>
        <w:tc>
          <w:tcPr>
            <w:tcW w:w="1766" w:type="dxa"/>
          </w:tcPr>
          <w:p>
            <w:pPr>
              <w:pStyle w:val="22"/>
              <w:spacing w:line="360" w:lineRule="auto"/>
              <w:rPr>
                <w:sz w:val="24"/>
                <w:szCs w:val="24"/>
              </w:rPr>
            </w:pPr>
            <w:r>
              <w:rPr>
                <w:sz w:val="24"/>
                <w:szCs w:val="24"/>
              </w:rPr>
              <w:t>.3113869</w:t>
            </w:r>
          </w:p>
        </w:tc>
        <w:tc>
          <w:tcPr>
            <w:tcW w:w="2101" w:type="dxa"/>
          </w:tcPr>
          <w:p>
            <w:pPr>
              <w:pStyle w:val="22"/>
              <w:spacing w:line="360" w:lineRule="auto"/>
              <w:ind w:left="446"/>
              <w:rPr>
                <w:sz w:val="24"/>
                <w:szCs w:val="24"/>
              </w:rPr>
            </w:pPr>
            <w:r>
              <w:rPr>
                <w:sz w:val="24"/>
                <w:szCs w:val="24"/>
              </w:rPr>
              <w:t>2.932013</w:t>
            </w:r>
          </w:p>
        </w:tc>
      </w:tr>
      <w:tr>
        <w:tblPrEx>
          <w:tblCellMar>
            <w:top w:w="0" w:type="dxa"/>
            <w:left w:w="0" w:type="dxa"/>
            <w:bottom w:w="0" w:type="dxa"/>
            <w:right w:w="0" w:type="dxa"/>
          </w:tblCellMar>
        </w:tblPrEx>
        <w:trPr>
          <w:trHeight w:val="285" w:hRule="atLeast"/>
        </w:trPr>
        <w:tc>
          <w:tcPr>
            <w:tcW w:w="1490" w:type="dxa"/>
            <w:tcBorders>
              <w:bottom w:val="single" w:color="000000" w:sz="4" w:space="0"/>
              <w:right w:val="single" w:color="000000" w:sz="4" w:space="0"/>
            </w:tcBorders>
          </w:tcPr>
          <w:p>
            <w:pPr>
              <w:pStyle w:val="22"/>
              <w:spacing w:line="360" w:lineRule="auto"/>
              <w:rPr>
                <w:sz w:val="24"/>
                <w:szCs w:val="24"/>
              </w:rPr>
            </w:pPr>
            <w:r>
              <w:rPr>
                <w:sz w:val="24"/>
                <w:szCs w:val="24"/>
              </w:rPr>
              <w:t>IRSM</w:t>
            </w:r>
          </w:p>
        </w:tc>
        <w:tc>
          <w:tcPr>
            <w:tcW w:w="1597" w:type="dxa"/>
            <w:tcBorders>
              <w:left w:val="single" w:color="000000" w:sz="4" w:space="0"/>
              <w:bottom w:val="single" w:color="000000" w:sz="4" w:space="0"/>
            </w:tcBorders>
          </w:tcPr>
          <w:p>
            <w:pPr>
              <w:pStyle w:val="22"/>
              <w:spacing w:line="360" w:lineRule="auto"/>
              <w:rPr>
                <w:sz w:val="24"/>
                <w:szCs w:val="24"/>
              </w:rPr>
            </w:pPr>
            <w:r>
              <w:rPr>
                <w:sz w:val="24"/>
                <w:szCs w:val="24"/>
              </w:rPr>
              <w:t>-.4104958</w:t>
            </w:r>
          </w:p>
        </w:tc>
        <w:tc>
          <w:tcPr>
            <w:tcW w:w="1656" w:type="dxa"/>
            <w:tcBorders>
              <w:bottom w:val="single" w:color="000000" w:sz="4" w:space="0"/>
            </w:tcBorders>
          </w:tcPr>
          <w:p>
            <w:pPr>
              <w:pStyle w:val="22"/>
              <w:spacing w:line="360" w:lineRule="auto"/>
              <w:rPr>
                <w:sz w:val="24"/>
                <w:szCs w:val="24"/>
              </w:rPr>
            </w:pPr>
            <w:r>
              <w:rPr>
                <w:sz w:val="24"/>
                <w:szCs w:val="24"/>
              </w:rPr>
              <w:t>-2.847148</w:t>
            </w:r>
          </w:p>
        </w:tc>
        <w:tc>
          <w:tcPr>
            <w:tcW w:w="1766" w:type="dxa"/>
            <w:tcBorders>
              <w:bottom w:val="single" w:color="000000" w:sz="4" w:space="0"/>
            </w:tcBorders>
          </w:tcPr>
          <w:p>
            <w:pPr>
              <w:pStyle w:val="22"/>
              <w:spacing w:line="360" w:lineRule="auto"/>
              <w:rPr>
                <w:sz w:val="24"/>
                <w:szCs w:val="24"/>
              </w:rPr>
            </w:pPr>
            <w:r>
              <w:rPr>
                <w:sz w:val="24"/>
                <w:szCs w:val="24"/>
              </w:rPr>
              <w:t>2.436652</w:t>
            </w:r>
          </w:p>
        </w:tc>
        <w:tc>
          <w:tcPr>
            <w:tcW w:w="2101" w:type="dxa"/>
            <w:tcBorders>
              <w:bottom w:val="single" w:color="000000" w:sz="4" w:space="0"/>
            </w:tcBorders>
          </w:tcPr>
          <w:p>
            <w:pPr>
              <w:pStyle w:val="22"/>
              <w:spacing w:line="360" w:lineRule="auto"/>
              <w:ind w:left="446"/>
              <w:rPr>
                <w:sz w:val="24"/>
                <w:szCs w:val="24"/>
              </w:rPr>
            </w:pPr>
            <w:r>
              <w:rPr>
                <w:sz w:val="24"/>
                <w:szCs w:val="24"/>
              </w:rPr>
              <w:t>2.511605</w:t>
            </w:r>
          </w:p>
        </w:tc>
      </w:tr>
    </w:tbl>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key assumption in random effects estimation is that the random effects are uncorrelated with the explanatory factors. A popular method for testing this assumption is to compare coefficient estimates for fixed and random effects. This comparison is achieved by employing the Hausman test. A mixed model, which includes a random effects model, is one of the types studied in this research. The Hausman Test is used to provide the results of identifying the best model, whether random or fixed.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Random effects are uncorrelated with the explanatory factors. A popular method for testing this assumption is to compare coefficient estimates for fixed and random effects. A mixed model, which includes a random effect model, is one of the types studied in this research. The Hausman Test is used to provide the results of identifying the best model, whether random or fixed. According to the table, the Chi-Square statistic has a significance level of 5% because the probability value is less than 0.05. According to the Hausman Test findings, the Fixed Effect Model is the best model for analyzing the dataset. This suggested that the link between green investment and business performance in Sri Lanka's manufacturing firms is mostly controlled by fixed characteristics rather than random impacts.</w:t>
      </w:r>
    </w:p>
    <w:p>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highlight w:val="yellow"/>
        </w:rPr>
        <w:t>Table 04:</w:t>
      </w:r>
      <w:r>
        <w:rPr>
          <w:rFonts w:ascii="Times New Roman" w:hAnsi="Times New Roman" w:cs="Times New Roman"/>
          <w:b/>
          <w:bCs/>
          <w:sz w:val="24"/>
          <w:szCs w:val="24"/>
        </w:rPr>
        <w:t xml:space="preserve"> F</w:t>
      </w:r>
      <w:commentRangeStart w:id="21"/>
      <w:r>
        <w:rPr>
          <w:rFonts w:ascii="Times New Roman" w:hAnsi="Times New Roman" w:cs="Times New Roman"/>
          <w:b/>
          <w:bCs/>
          <w:sz w:val="24"/>
          <w:szCs w:val="24"/>
        </w:rPr>
        <w:t>ixed Effect Regression</w:t>
      </w:r>
      <w:commentRangeEnd w:id="21"/>
      <w:r>
        <w:rPr>
          <w:rStyle w:val="8"/>
        </w:rPr>
        <w:commentReference w:id="21"/>
      </w:r>
    </w:p>
    <w:tbl>
      <w:tblPr>
        <w:tblStyle w:val="5"/>
        <w:tblW w:w="0" w:type="auto"/>
        <w:tblInd w:w="442" w:type="dxa"/>
        <w:tblLayout w:type="fixed"/>
        <w:tblCellMar>
          <w:top w:w="0" w:type="dxa"/>
          <w:left w:w="0" w:type="dxa"/>
          <w:bottom w:w="0" w:type="dxa"/>
          <w:right w:w="0" w:type="dxa"/>
        </w:tblCellMar>
      </w:tblPr>
      <w:tblGrid>
        <w:gridCol w:w="1274"/>
        <w:gridCol w:w="1223"/>
        <w:gridCol w:w="2548"/>
        <w:gridCol w:w="1416"/>
        <w:gridCol w:w="900"/>
      </w:tblGrid>
      <w:tr>
        <w:tblPrEx>
          <w:tblCellMar>
            <w:top w:w="0" w:type="dxa"/>
            <w:left w:w="0" w:type="dxa"/>
            <w:bottom w:w="0" w:type="dxa"/>
            <w:right w:w="0" w:type="dxa"/>
          </w:tblCellMar>
        </w:tblPrEx>
        <w:trPr>
          <w:trHeight w:val="354" w:hRule="atLeast"/>
        </w:trPr>
        <w:tc>
          <w:tcPr>
            <w:tcW w:w="1274" w:type="dxa"/>
            <w:tcBorders>
              <w:top w:val="single" w:color="000000" w:sz="4" w:space="0"/>
              <w:bottom w:val="single" w:color="000000" w:sz="4" w:space="0"/>
              <w:right w:val="single" w:color="000000" w:sz="4" w:space="0"/>
            </w:tcBorders>
          </w:tcPr>
          <w:p>
            <w:pPr>
              <w:pStyle w:val="22"/>
              <w:spacing w:line="360" w:lineRule="auto"/>
              <w:rPr>
                <w:sz w:val="24"/>
                <w:szCs w:val="24"/>
              </w:rPr>
            </w:pPr>
            <w:r>
              <w:rPr>
                <w:sz w:val="24"/>
                <w:szCs w:val="24"/>
              </w:rPr>
              <w:t>ROA</w:t>
            </w:r>
          </w:p>
        </w:tc>
        <w:tc>
          <w:tcPr>
            <w:tcW w:w="1223" w:type="dxa"/>
            <w:tcBorders>
              <w:top w:val="single" w:color="000000" w:sz="4" w:space="0"/>
              <w:left w:val="single" w:color="000000" w:sz="4" w:space="0"/>
              <w:bottom w:val="single" w:color="000000" w:sz="4" w:space="0"/>
            </w:tcBorders>
          </w:tcPr>
          <w:p>
            <w:pPr>
              <w:pStyle w:val="22"/>
              <w:spacing w:line="360" w:lineRule="auto"/>
              <w:rPr>
                <w:sz w:val="24"/>
                <w:szCs w:val="24"/>
              </w:rPr>
            </w:pPr>
            <w:r>
              <w:rPr>
                <w:sz w:val="24"/>
                <w:szCs w:val="24"/>
              </w:rPr>
              <w:t>Coef.</w:t>
            </w:r>
          </w:p>
        </w:tc>
        <w:tc>
          <w:tcPr>
            <w:tcW w:w="2548" w:type="dxa"/>
            <w:tcBorders>
              <w:top w:val="single" w:color="000000" w:sz="4" w:space="0"/>
              <w:bottom w:val="single" w:color="000000" w:sz="4" w:space="0"/>
            </w:tcBorders>
          </w:tcPr>
          <w:p>
            <w:pPr>
              <w:pStyle w:val="22"/>
              <w:spacing w:line="360" w:lineRule="auto"/>
              <w:rPr>
                <w:sz w:val="24"/>
                <w:szCs w:val="24"/>
              </w:rPr>
            </w:pPr>
            <w:r>
              <w:rPr>
                <w:sz w:val="24"/>
                <w:szCs w:val="24"/>
              </w:rPr>
              <w:t>Std. Err.</w:t>
            </w:r>
            <w:r>
              <w:rPr>
                <w:sz w:val="24"/>
                <w:szCs w:val="24"/>
              </w:rPr>
              <w:tab/>
            </w:r>
            <w:r>
              <w:rPr>
                <w:sz w:val="24"/>
                <w:szCs w:val="24"/>
              </w:rPr>
              <w:t>t</w:t>
            </w:r>
            <w:r>
              <w:rPr>
                <w:sz w:val="24"/>
                <w:szCs w:val="24"/>
              </w:rPr>
              <w:tab/>
            </w:r>
            <w:r>
              <w:rPr>
                <w:sz w:val="24"/>
                <w:szCs w:val="24"/>
              </w:rPr>
              <w:t>P&gt;|t|</w:t>
            </w:r>
          </w:p>
        </w:tc>
        <w:tc>
          <w:tcPr>
            <w:tcW w:w="1416" w:type="dxa"/>
            <w:tcBorders>
              <w:top w:val="single" w:color="000000" w:sz="4" w:space="0"/>
              <w:bottom w:val="single" w:color="000000" w:sz="4" w:space="0"/>
            </w:tcBorders>
          </w:tcPr>
          <w:p>
            <w:pPr>
              <w:pStyle w:val="22"/>
              <w:spacing w:line="360" w:lineRule="auto"/>
              <w:rPr>
                <w:sz w:val="24"/>
                <w:szCs w:val="24"/>
              </w:rPr>
            </w:pPr>
            <w:r>
              <w:rPr>
                <w:sz w:val="24"/>
                <w:szCs w:val="24"/>
              </w:rPr>
              <w:t>[95% Conf.</w:t>
            </w:r>
          </w:p>
        </w:tc>
        <w:tc>
          <w:tcPr>
            <w:tcW w:w="900" w:type="dxa"/>
            <w:tcBorders>
              <w:top w:val="single" w:color="000000" w:sz="4" w:space="0"/>
              <w:bottom w:val="single" w:color="000000" w:sz="4" w:space="0"/>
            </w:tcBorders>
          </w:tcPr>
          <w:p>
            <w:pPr>
              <w:pStyle w:val="22"/>
              <w:spacing w:line="360" w:lineRule="auto"/>
              <w:rPr>
                <w:sz w:val="24"/>
                <w:szCs w:val="24"/>
              </w:rPr>
            </w:pPr>
            <w:r>
              <w:rPr>
                <w:sz w:val="24"/>
                <w:szCs w:val="24"/>
              </w:rPr>
              <w:t>Interval]</w:t>
            </w:r>
          </w:p>
        </w:tc>
      </w:tr>
      <w:tr>
        <w:tblPrEx>
          <w:tblCellMar>
            <w:top w:w="0" w:type="dxa"/>
            <w:left w:w="0" w:type="dxa"/>
            <w:bottom w:w="0" w:type="dxa"/>
            <w:right w:w="0" w:type="dxa"/>
          </w:tblCellMar>
        </w:tblPrEx>
        <w:trPr>
          <w:trHeight w:val="268" w:hRule="atLeast"/>
        </w:trPr>
        <w:tc>
          <w:tcPr>
            <w:tcW w:w="1274" w:type="dxa"/>
            <w:tcBorders>
              <w:top w:val="single" w:color="000000" w:sz="4" w:space="0"/>
              <w:right w:val="single" w:color="000000" w:sz="4" w:space="0"/>
            </w:tcBorders>
          </w:tcPr>
          <w:p>
            <w:pPr>
              <w:pStyle w:val="22"/>
              <w:spacing w:line="360" w:lineRule="auto"/>
              <w:rPr>
                <w:sz w:val="24"/>
                <w:szCs w:val="24"/>
              </w:rPr>
            </w:pPr>
            <w:r>
              <w:rPr>
                <w:sz w:val="24"/>
                <w:szCs w:val="24"/>
              </w:rPr>
              <w:t>IRT</w:t>
            </w:r>
          </w:p>
        </w:tc>
        <w:tc>
          <w:tcPr>
            <w:tcW w:w="1223" w:type="dxa"/>
            <w:tcBorders>
              <w:top w:val="single" w:color="000000" w:sz="4" w:space="0"/>
              <w:left w:val="single" w:color="000000" w:sz="4" w:space="0"/>
            </w:tcBorders>
          </w:tcPr>
          <w:p>
            <w:pPr>
              <w:pStyle w:val="22"/>
              <w:spacing w:line="360" w:lineRule="auto"/>
              <w:rPr>
                <w:sz w:val="24"/>
                <w:szCs w:val="24"/>
              </w:rPr>
            </w:pPr>
            <w:r>
              <w:rPr>
                <w:sz w:val="24"/>
                <w:szCs w:val="24"/>
              </w:rPr>
              <w:t>-.2554722</w:t>
            </w:r>
          </w:p>
        </w:tc>
        <w:tc>
          <w:tcPr>
            <w:tcW w:w="2548" w:type="dxa"/>
            <w:tcBorders>
              <w:top w:val="single" w:color="000000" w:sz="4" w:space="0"/>
            </w:tcBorders>
          </w:tcPr>
          <w:p>
            <w:pPr>
              <w:pStyle w:val="22"/>
              <w:spacing w:line="360" w:lineRule="auto"/>
              <w:rPr>
                <w:sz w:val="24"/>
                <w:szCs w:val="24"/>
              </w:rPr>
            </w:pPr>
            <w:r>
              <w:rPr>
                <w:sz w:val="24"/>
                <w:szCs w:val="24"/>
              </w:rPr>
              <w:t>1.359465</w:t>
            </w:r>
            <w:r>
              <w:rPr>
                <w:sz w:val="24"/>
                <w:szCs w:val="24"/>
              </w:rPr>
              <w:tab/>
            </w:r>
            <w:r>
              <w:rPr>
                <w:sz w:val="24"/>
                <w:szCs w:val="24"/>
              </w:rPr>
              <w:t>-0.19</w:t>
            </w:r>
            <w:r>
              <w:rPr>
                <w:sz w:val="24"/>
                <w:szCs w:val="24"/>
              </w:rPr>
              <w:tab/>
            </w:r>
            <w:commentRangeStart w:id="22"/>
            <w:r>
              <w:rPr>
                <w:sz w:val="24"/>
                <w:szCs w:val="24"/>
              </w:rPr>
              <w:t>0.0351</w:t>
            </w:r>
            <w:commentRangeEnd w:id="22"/>
            <w:r>
              <w:rPr>
                <w:rStyle w:val="8"/>
                <w:rFonts w:cs="Latha" w:asciiTheme="minorHAnsi" w:hAnsiTheme="minorHAnsi" w:eastAsiaTheme="minorHAnsi"/>
                <w:lang w:bidi="ta-IN"/>
              </w:rPr>
              <w:commentReference w:id="22"/>
            </w:r>
          </w:p>
        </w:tc>
        <w:tc>
          <w:tcPr>
            <w:tcW w:w="1416" w:type="dxa"/>
            <w:tcBorders>
              <w:top w:val="single" w:color="000000" w:sz="4" w:space="0"/>
            </w:tcBorders>
          </w:tcPr>
          <w:p>
            <w:pPr>
              <w:pStyle w:val="22"/>
              <w:spacing w:line="360" w:lineRule="auto"/>
              <w:rPr>
                <w:sz w:val="24"/>
                <w:szCs w:val="24"/>
              </w:rPr>
            </w:pPr>
            <w:r>
              <w:rPr>
                <w:sz w:val="24"/>
                <w:szCs w:val="24"/>
              </w:rPr>
              <w:t>-2.931752</w:t>
            </w:r>
          </w:p>
        </w:tc>
        <w:tc>
          <w:tcPr>
            <w:tcW w:w="900" w:type="dxa"/>
            <w:tcBorders>
              <w:top w:val="single" w:color="000000" w:sz="4" w:space="0"/>
            </w:tcBorders>
          </w:tcPr>
          <w:p>
            <w:pPr>
              <w:pStyle w:val="22"/>
              <w:spacing w:line="360" w:lineRule="auto"/>
              <w:rPr>
                <w:sz w:val="24"/>
                <w:szCs w:val="24"/>
              </w:rPr>
            </w:pPr>
            <w:r>
              <w:rPr>
                <w:sz w:val="24"/>
                <w:szCs w:val="24"/>
              </w:rPr>
              <w:t>2.420808</w:t>
            </w:r>
          </w:p>
        </w:tc>
      </w:tr>
      <w:tr>
        <w:tblPrEx>
          <w:tblCellMar>
            <w:top w:w="0" w:type="dxa"/>
            <w:left w:w="0" w:type="dxa"/>
            <w:bottom w:w="0" w:type="dxa"/>
            <w:right w:w="0" w:type="dxa"/>
          </w:tblCellMar>
        </w:tblPrEx>
        <w:trPr>
          <w:trHeight w:val="181" w:hRule="atLeast"/>
        </w:trPr>
        <w:tc>
          <w:tcPr>
            <w:tcW w:w="1274" w:type="dxa"/>
            <w:tcBorders>
              <w:right w:val="single" w:color="000000" w:sz="4" w:space="0"/>
            </w:tcBorders>
          </w:tcPr>
          <w:p>
            <w:pPr>
              <w:pStyle w:val="22"/>
              <w:spacing w:line="360" w:lineRule="auto"/>
              <w:rPr>
                <w:sz w:val="24"/>
                <w:szCs w:val="24"/>
              </w:rPr>
            </w:pPr>
            <w:r>
              <w:rPr>
                <w:sz w:val="24"/>
                <w:szCs w:val="24"/>
              </w:rPr>
              <w:t>EET</w:t>
            </w:r>
          </w:p>
        </w:tc>
        <w:tc>
          <w:tcPr>
            <w:tcW w:w="1223" w:type="dxa"/>
            <w:tcBorders>
              <w:left w:val="single" w:color="000000" w:sz="4" w:space="0"/>
            </w:tcBorders>
          </w:tcPr>
          <w:p>
            <w:pPr>
              <w:pStyle w:val="22"/>
              <w:spacing w:line="360" w:lineRule="auto"/>
              <w:rPr>
                <w:sz w:val="24"/>
                <w:szCs w:val="24"/>
              </w:rPr>
            </w:pPr>
            <w:r>
              <w:rPr>
                <w:sz w:val="24"/>
                <w:szCs w:val="24"/>
              </w:rPr>
              <w:t>1.314243</w:t>
            </w:r>
          </w:p>
        </w:tc>
        <w:tc>
          <w:tcPr>
            <w:tcW w:w="2548" w:type="dxa"/>
          </w:tcPr>
          <w:p>
            <w:pPr>
              <w:pStyle w:val="22"/>
              <w:spacing w:line="360" w:lineRule="auto"/>
              <w:rPr>
                <w:sz w:val="24"/>
                <w:szCs w:val="24"/>
              </w:rPr>
            </w:pPr>
            <w:r>
              <w:rPr>
                <w:sz w:val="24"/>
                <w:szCs w:val="24"/>
              </w:rPr>
              <w:t>1.646219</w:t>
            </w:r>
            <w:r>
              <w:rPr>
                <w:sz w:val="24"/>
                <w:szCs w:val="24"/>
              </w:rPr>
              <w:tab/>
            </w:r>
            <w:r>
              <w:rPr>
                <w:sz w:val="24"/>
                <w:szCs w:val="24"/>
              </w:rPr>
              <w:t>0.80</w:t>
            </w:r>
            <w:r>
              <w:rPr>
                <w:sz w:val="24"/>
                <w:szCs w:val="24"/>
              </w:rPr>
              <w:tab/>
            </w:r>
            <w:r>
              <w:rPr>
                <w:sz w:val="24"/>
                <w:szCs w:val="24"/>
              </w:rPr>
              <w:t>0.0425</w:t>
            </w:r>
          </w:p>
        </w:tc>
        <w:tc>
          <w:tcPr>
            <w:tcW w:w="1416" w:type="dxa"/>
          </w:tcPr>
          <w:p>
            <w:pPr>
              <w:pStyle w:val="22"/>
              <w:spacing w:line="360" w:lineRule="auto"/>
              <w:rPr>
                <w:sz w:val="24"/>
                <w:szCs w:val="24"/>
              </w:rPr>
            </w:pPr>
            <w:r>
              <w:rPr>
                <w:sz w:val="24"/>
                <w:szCs w:val="24"/>
              </w:rPr>
              <w:t>-1.92655</w:t>
            </w:r>
          </w:p>
        </w:tc>
        <w:tc>
          <w:tcPr>
            <w:tcW w:w="900" w:type="dxa"/>
          </w:tcPr>
          <w:p>
            <w:pPr>
              <w:pStyle w:val="22"/>
              <w:spacing w:line="360" w:lineRule="auto"/>
              <w:rPr>
                <w:sz w:val="24"/>
                <w:szCs w:val="24"/>
              </w:rPr>
            </w:pPr>
            <w:r>
              <w:rPr>
                <w:sz w:val="24"/>
                <w:szCs w:val="24"/>
              </w:rPr>
              <w:t>4.555035</w:t>
            </w:r>
          </w:p>
        </w:tc>
      </w:tr>
      <w:tr>
        <w:tblPrEx>
          <w:tblCellMar>
            <w:top w:w="0" w:type="dxa"/>
            <w:left w:w="0" w:type="dxa"/>
            <w:bottom w:w="0" w:type="dxa"/>
            <w:right w:w="0" w:type="dxa"/>
          </w:tblCellMar>
        </w:tblPrEx>
        <w:trPr>
          <w:trHeight w:val="181" w:hRule="atLeast"/>
        </w:trPr>
        <w:tc>
          <w:tcPr>
            <w:tcW w:w="1274" w:type="dxa"/>
            <w:tcBorders>
              <w:right w:val="single" w:color="000000" w:sz="4" w:space="0"/>
            </w:tcBorders>
          </w:tcPr>
          <w:p>
            <w:pPr>
              <w:pStyle w:val="22"/>
              <w:spacing w:line="360" w:lineRule="auto"/>
              <w:rPr>
                <w:sz w:val="24"/>
                <w:szCs w:val="24"/>
              </w:rPr>
            </w:pPr>
            <w:r>
              <w:rPr>
                <w:sz w:val="24"/>
                <w:szCs w:val="24"/>
              </w:rPr>
              <w:t>IRSM</w:t>
            </w:r>
          </w:p>
        </w:tc>
        <w:tc>
          <w:tcPr>
            <w:tcW w:w="1223" w:type="dxa"/>
            <w:tcBorders>
              <w:left w:val="single" w:color="000000" w:sz="4" w:space="0"/>
            </w:tcBorders>
          </w:tcPr>
          <w:p>
            <w:pPr>
              <w:pStyle w:val="22"/>
              <w:spacing w:line="360" w:lineRule="auto"/>
              <w:rPr>
                <w:sz w:val="24"/>
                <w:szCs w:val="24"/>
              </w:rPr>
            </w:pPr>
            <w:r>
              <w:rPr>
                <w:sz w:val="24"/>
                <w:szCs w:val="24"/>
              </w:rPr>
              <w:t>-2.357683</w:t>
            </w:r>
          </w:p>
        </w:tc>
        <w:tc>
          <w:tcPr>
            <w:tcW w:w="2548" w:type="dxa"/>
          </w:tcPr>
          <w:p>
            <w:pPr>
              <w:pStyle w:val="22"/>
              <w:spacing w:line="360" w:lineRule="auto"/>
              <w:rPr>
                <w:sz w:val="24"/>
                <w:szCs w:val="24"/>
              </w:rPr>
            </w:pPr>
            <w:r>
              <w:rPr>
                <w:sz w:val="24"/>
                <w:szCs w:val="24"/>
              </w:rPr>
              <w:t>1.547197</w:t>
            </w:r>
            <w:r>
              <w:rPr>
                <w:sz w:val="24"/>
                <w:szCs w:val="24"/>
              </w:rPr>
              <w:tab/>
            </w:r>
            <w:r>
              <w:rPr>
                <w:sz w:val="24"/>
                <w:szCs w:val="24"/>
              </w:rPr>
              <w:t>-1.52</w:t>
            </w:r>
            <w:r>
              <w:rPr>
                <w:sz w:val="24"/>
                <w:szCs w:val="24"/>
              </w:rPr>
              <w:tab/>
            </w:r>
            <w:r>
              <w:rPr>
                <w:sz w:val="24"/>
                <w:szCs w:val="24"/>
              </w:rPr>
              <w:t>0.129</w:t>
            </w:r>
          </w:p>
        </w:tc>
        <w:tc>
          <w:tcPr>
            <w:tcW w:w="1416" w:type="dxa"/>
          </w:tcPr>
          <w:p>
            <w:pPr>
              <w:pStyle w:val="22"/>
              <w:spacing w:line="360" w:lineRule="auto"/>
              <w:rPr>
                <w:sz w:val="24"/>
                <w:szCs w:val="24"/>
              </w:rPr>
            </w:pPr>
            <w:r>
              <w:rPr>
                <w:sz w:val="24"/>
                <w:szCs w:val="24"/>
              </w:rPr>
              <w:t>-5.403539</w:t>
            </w:r>
          </w:p>
        </w:tc>
        <w:tc>
          <w:tcPr>
            <w:tcW w:w="900" w:type="dxa"/>
          </w:tcPr>
          <w:p>
            <w:pPr>
              <w:pStyle w:val="22"/>
              <w:spacing w:line="360" w:lineRule="auto"/>
              <w:rPr>
                <w:sz w:val="24"/>
                <w:szCs w:val="24"/>
              </w:rPr>
            </w:pPr>
            <w:r>
              <w:rPr>
                <w:sz w:val="24"/>
                <w:szCs w:val="24"/>
              </w:rPr>
              <w:t>.6881731</w:t>
            </w:r>
          </w:p>
        </w:tc>
      </w:tr>
      <w:tr>
        <w:tblPrEx>
          <w:tblCellMar>
            <w:top w:w="0" w:type="dxa"/>
            <w:left w:w="0" w:type="dxa"/>
            <w:bottom w:w="0" w:type="dxa"/>
            <w:right w:w="0" w:type="dxa"/>
          </w:tblCellMar>
        </w:tblPrEx>
        <w:trPr>
          <w:trHeight w:val="266" w:hRule="atLeast"/>
        </w:trPr>
        <w:tc>
          <w:tcPr>
            <w:tcW w:w="1274" w:type="dxa"/>
            <w:tcBorders>
              <w:bottom w:val="single" w:color="000000" w:sz="4" w:space="0"/>
              <w:right w:val="single" w:color="000000" w:sz="4" w:space="0"/>
            </w:tcBorders>
          </w:tcPr>
          <w:p>
            <w:pPr>
              <w:pStyle w:val="22"/>
              <w:spacing w:line="360" w:lineRule="auto"/>
              <w:rPr>
                <w:sz w:val="24"/>
                <w:szCs w:val="24"/>
              </w:rPr>
            </w:pPr>
            <w:r>
              <w:rPr>
                <w:sz w:val="24"/>
                <w:szCs w:val="24"/>
              </w:rPr>
              <w:t>_cons</w:t>
            </w:r>
          </w:p>
        </w:tc>
        <w:tc>
          <w:tcPr>
            <w:tcW w:w="1223" w:type="dxa"/>
            <w:tcBorders>
              <w:left w:val="single" w:color="000000" w:sz="4" w:space="0"/>
              <w:bottom w:val="single" w:color="000000" w:sz="4" w:space="0"/>
            </w:tcBorders>
          </w:tcPr>
          <w:p>
            <w:pPr>
              <w:pStyle w:val="22"/>
              <w:spacing w:line="360" w:lineRule="auto"/>
              <w:rPr>
                <w:sz w:val="24"/>
                <w:szCs w:val="24"/>
              </w:rPr>
            </w:pPr>
            <w:r>
              <w:rPr>
                <w:sz w:val="24"/>
                <w:szCs w:val="24"/>
              </w:rPr>
              <w:t>8.91212</w:t>
            </w:r>
          </w:p>
        </w:tc>
        <w:tc>
          <w:tcPr>
            <w:tcW w:w="2548" w:type="dxa"/>
            <w:tcBorders>
              <w:bottom w:val="single" w:color="000000" w:sz="4" w:space="0"/>
            </w:tcBorders>
          </w:tcPr>
          <w:p>
            <w:pPr>
              <w:pStyle w:val="22"/>
              <w:spacing w:line="360" w:lineRule="auto"/>
              <w:rPr>
                <w:sz w:val="24"/>
                <w:szCs w:val="24"/>
              </w:rPr>
            </w:pPr>
            <w:r>
              <w:rPr>
                <w:sz w:val="24"/>
                <w:szCs w:val="24"/>
              </w:rPr>
              <w:t>1.008335</w:t>
            </w:r>
            <w:r>
              <w:rPr>
                <w:sz w:val="24"/>
                <w:szCs w:val="24"/>
              </w:rPr>
              <w:tab/>
            </w:r>
            <w:r>
              <w:rPr>
                <w:sz w:val="24"/>
                <w:szCs w:val="24"/>
              </w:rPr>
              <w:t>8.84</w:t>
            </w:r>
            <w:r>
              <w:rPr>
                <w:sz w:val="24"/>
                <w:szCs w:val="24"/>
              </w:rPr>
              <w:tab/>
            </w:r>
            <w:r>
              <w:rPr>
                <w:sz w:val="24"/>
                <w:szCs w:val="24"/>
              </w:rPr>
              <w:t>0.000</w:t>
            </w:r>
          </w:p>
        </w:tc>
        <w:tc>
          <w:tcPr>
            <w:tcW w:w="1416" w:type="dxa"/>
            <w:tcBorders>
              <w:bottom w:val="single" w:color="000000" w:sz="4" w:space="0"/>
            </w:tcBorders>
          </w:tcPr>
          <w:p>
            <w:pPr>
              <w:pStyle w:val="22"/>
              <w:spacing w:line="360" w:lineRule="auto"/>
              <w:rPr>
                <w:sz w:val="24"/>
                <w:szCs w:val="24"/>
              </w:rPr>
            </w:pPr>
            <w:r>
              <w:rPr>
                <w:sz w:val="24"/>
                <w:szCs w:val="24"/>
              </w:rPr>
              <w:t>6.927084</w:t>
            </w:r>
          </w:p>
        </w:tc>
        <w:tc>
          <w:tcPr>
            <w:tcW w:w="900" w:type="dxa"/>
            <w:tcBorders>
              <w:bottom w:val="single" w:color="000000" w:sz="4" w:space="0"/>
            </w:tcBorders>
          </w:tcPr>
          <w:p>
            <w:pPr>
              <w:pStyle w:val="22"/>
              <w:spacing w:line="360" w:lineRule="auto"/>
              <w:rPr>
                <w:sz w:val="24"/>
                <w:szCs w:val="24"/>
              </w:rPr>
            </w:pPr>
            <w:r>
              <w:rPr>
                <w:sz w:val="24"/>
                <w:szCs w:val="24"/>
              </w:rPr>
              <w:t>10.89716</w:t>
            </w:r>
          </w:p>
        </w:tc>
      </w:tr>
      <w:tr>
        <w:tblPrEx>
          <w:tblCellMar>
            <w:top w:w="0" w:type="dxa"/>
            <w:left w:w="0" w:type="dxa"/>
            <w:bottom w:w="0" w:type="dxa"/>
            <w:right w:w="0" w:type="dxa"/>
          </w:tblCellMar>
        </w:tblPrEx>
        <w:trPr>
          <w:trHeight w:val="268" w:hRule="atLeast"/>
        </w:trPr>
        <w:tc>
          <w:tcPr>
            <w:tcW w:w="1274" w:type="dxa"/>
            <w:tcBorders>
              <w:top w:val="single" w:color="000000" w:sz="4" w:space="0"/>
              <w:right w:val="single" w:color="000000" w:sz="4" w:space="0"/>
            </w:tcBorders>
          </w:tcPr>
          <w:p>
            <w:pPr>
              <w:pStyle w:val="22"/>
              <w:spacing w:line="360" w:lineRule="auto"/>
              <w:rPr>
                <w:sz w:val="24"/>
                <w:szCs w:val="24"/>
              </w:rPr>
            </w:pPr>
            <w:r>
              <w:rPr>
                <w:sz w:val="24"/>
                <w:szCs w:val="24"/>
              </w:rPr>
              <w:t>sigma_u</w:t>
            </w:r>
          </w:p>
        </w:tc>
        <w:tc>
          <w:tcPr>
            <w:tcW w:w="1223" w:type="dxa"/>
            <w:tcBorders>
              <w:top w:val="single" w:color="000000" w:sz="4" w:space="0"/>
              <w:left w:val="single" w:color="000000" w:sz="4" w:space="0"/>
            </w:tcBorders>
          </w:tcPr>
          <w:p>
            <w:pPr>
              <w:pStyle w:val="22"/>
              <w:spacing w:line="360" w:lineRule="auto"/>
              <w:rPr>
                <w:sz w:val="24"/>
                <w:szCs w:val="24"/>
              </w:rPr>
            </w:pPr>
            <w:r>
              <w:rPr>
                <w:sz w:val="24"/>
                <w:szCs w:val="24"/>
              </w:rPr>
              <w:t>9.0440773</w:t>
            </w:r>
          </w:p>
        </w:tc>
        <w:tc>
          <w:tcPr>
            <w:tcW w:w="2548" w:type="dxa"/>
            <w:tcBorders>
              <w:top w:val="single" w:color="000000" w:sz="4" w:space="0"/>
            </w:tcBorders>
          </w:tcPr>
          <w:p>
            <w:pPr>
              <w:pStyle w:val="22"/>
              <w:spacing w:line="360" w:lineRule="auto"/>
              <w:rPr>
                <w:sz w:val="24"/>
                <w:szCs w:val="24"/>
              </w:rPr>
            </w:pPr>
          </w:p>
        </w:tc>
        <w:tc>
          <w:tcPr>
            <w:tcW w:w="1416" w:type="dxa"/>
            <w:tcBorders>
              <w:top w:val="single" w:color="000000" w:sz="4" w:space="0"/>
            </w:tcBorders>
          </w:tcPr>
          <w:p>
            <w:pPr>
              <w:pStyle w:val="22"/>
              <w:spacing w:line="360" w:lineRule="auto"/>
              <w:rPr>
                <w:sz w:val="24"/>
                <w:szCs w:val="24"/>
              </w:rPr>
            </w:pPr>
          </w:p>
        </w:tc>
        <w:tc>
          <w:tcPr>
            <w:tcW w:w="900" w:type="dxa"/>
            <w:tcBorders>
              <w:top w:val="single" w:color="000000" w:sz="4" w:space="0"/>
            </w:tcBorders>
          </w:tcPr>
          <w:p>
            <w:pPr>
              <w:pStyle w:val="22"/>
              <w:spacing w:line="360" w:lineRule="auto"/>
              <w:rPr>
                <w:sz w:val="24"/>
                <w:szCs w:val="24"/>
              </w:rPr>
            </w:pPr>
          </w:p>
        </w:tc>
      </w:tr>
      <w:tr>
        <w:tblPrEx>
          <w:tblCellMar>
            <w:top w:w="0" w:type="dxa"/>
            <w:left w:w="0" w:type="dxa"/>
            <w:bottom w:w="0" w:type="dxa"/>
            <w:right w:w="0" w:type="dxa"/>
          </w:tblCellMar>
        </w:tblPrEx>
        <w:trPr>
          <w:trHeight w:val="181" w:hRule="atLeast"/>
        </w:trPr>
        <w:tc>
          <w:tcPr>
            <w:tcW w:w="1274" w:type="dxa"/>
            <w:tcBorders>
              <w:right w:val="single" w:color="000000" w:sz="4" w:space="0"/>
            </w:tcBorders>
          </w:tcPr>
          <w:p>
            <w:pPr>
              <w:pStyle w:val="22"/>
              <w:spacing w:line="360" w:lineRule="auto"/>
              <w:rPr>
                <w:sz w:val="24"/>
                <w:szCs w:val="24"/>
              </w:rPr>
            </w:pPr>
            <w:r>
              <w:rPr>
                <w:sz w:val="24"/>
                <w:szCs w:val="24"/>
              </w:rPr>
              <w:t>sigma_e</w:t>
            </w:r>
          </w:p>
        </w:tc>
        <w:tc>
          <w:tcPr>
            <w:tcW w:w="1223" w:type="dxa"/>
            <w:tcBorders>
              <w:left w:val="single" w:color="000000" w:sz="4" w:space="0"/>
            </w:tcBorders>
          </w:tcPr>
          <w:p>
            <w:pPr>
              <w:pStyle w:val="22"/>
              <w:spacing w:line="360" w:lineRule="auto"/>
              <w:rPr>
                <w:sz w:val="24"/>
                <w:szCs w:val="24"/>
              </w:rPr>
            </w:pPr>
            <w:r>
              <w:rPr>
                <w:sz w:val="24"/>
                <w:szCs w:val="24"/>
              </w:rPr>
              <w:t>7.5957908</w:t>
            </w:r>
          </w:p>
        </w:tc>
        <w:tc>
          <w:tcPr>
            <w:tcW w:w="2548" w:type="dxa"/>
          </w:tcPr>
          <w:p>
            <w:pPr>
              <w:pStyle w:val="22"/>
              <w:spacing w:line="360" w:lineRule="auto"/>
              <w:rPr>
                <w:sz w:val="24"/>
                <w:szCs w:val="24"/>
              </w:rPr>
            </w:pPr>
          </w:p>
        </w:tc>
        <w:tc>
          <w:tcPr>
            <w:tcW w:w="1416" w:type="dxa"/>
          </w:tcPr>
          <w:p>
            <w:pPr>
              <w:pStyle w:val="22"/>
              <w:spacing w:line="360" w:lineRule="auto"/>
              <w:rPr>
                <w:sz w:val="24"/>
                <w:szCs w:val="24"/>
              </w:rPr>
            </w:pPr>
          </w:p>
        </w:tc>
        <w:tc>
          <w:tcPr>
            <w:tcW w:w="900" w:type="dxa"/>
          </w:tcPr>
          <w:p>
            <w:pPr>
              <w:pStyle w:val="22"/>
              <w:spacing w:line="360" w:lineRule="auto"/>
              <w:rPr>
                <w:sz w:val="24"/>
                <w:szCs w:val="24"/>
              </w:rPr>
            </w:pPr>
          </w:p>
        </w:tc>
      </w:tr>
      <w:tr>
        <w:tblPrEx>
          <w:tblCellMar>
            <w:top w:w="0" w:type="dxa"/>
            <w:left w:w="0" w:type="dxa"/>
            <w:bottom w:w="0" w:type="dxa"/>
            <w:right w:w="0" w:type="dxa"/>
          </w:tblCellMar>
        </w:tblPrEx>
        <w:trPr>
          <w:trHeight w:val="266" w:hRule="atLeast"/>
        </w:trPr>
        <w:tc>
          <w:tcPr>
            <w:tcW w:w="1274" w:type="dxa"/>
            <w:tcBorders>
              <w:bottom w:val="single" w:color="000000" w:sz="4" w:space="0"/>
              <w:right w:val="single" w:color="000000" w:sz="4" w:space="0"/>
            </w:tcBorders>
          </w:tcPr>
          <w:p>
            <w:pPr>
              <w:pStyle w:val="22"/>
              <w:spacing w:line="360" w:lineRule="auto"/>
              <w:rPr>
                <w:sz w:val="24"/>
                <w:szCs w:val="24"/>
              </w:rPr>
            </w:pPr>
            <w:r>
              <w:rPr>
                <w:sz w:val="24"/>
                <w:szCs w:val="24"/>
              </w:rPr>
              <w:t>Rho</w:t>
            </w:r>
          </w:p>
        </w:tc>
        <w:tc>
          <w:tcPr>
            <w:tcW w:w="1223" w:type="dxa"/>
            <w:tcBorders>
              <w:left w:val="single" w:color="000000" w:sz="4" w:space="0"/>
              <w:bottom w:val="single" w:color="000000" w:sz="4" w:space="0"/>
            </w:tcBorders>
          </w:tcPr>
          <w:p>
            <w:pPr>
              <w:pStyle w:val="22"/>
              <w:spacing w:line="360" w:lineRule="auto"/>
              <w:rPr>
                <w:sz w:val="24"/>
                <w:szCs w:val="24"/>
              </w:rPr>
            </w:pPr>
            <w:r>
              <w:rPr>
                <w:sz w:val="24"/>
                <w:szCs w:val="24"/>
              </w:rPr>
              <w:t>.58638275</w:t>
            </w:r>
          </w:p>
        </w:tc>
        <w:tc>
          <w:tcPr>
            <w:tcW w:w="2548" w:type="dxa"/>
            <w:tcBorders>
              <w:bottom w:val="single" w:color="000000" w:sz="4" w:space="0"/>
            </w:tcBorders>
          </w:tcPr>
          <w:p>
            <w:pPr>
              <w:pStyle w:val="22"/>
              <w:spacing w:line="360" w:lineRule="auto"/>
              <w:rPr>
                <w:sz w:val="24"/>
                <w:szCs w:val="24"/>
              </w:rPr>
            </w:pPr>
            <w:r>
              <w:rPr>
                <w:sz w:val="24"/>
                <w:szCs w:val="24"/>
              </w:rPr>
              <w:t>(fraction of variance due</w:t>
            </w:r>
          </w:p>
        </w:tc>
        <w:tc>
          <w:tcPr>
            <w:tcW w:w="1416" w:type="dxa"/>
            <w:tcBorders>
              <w:bottom w:val="single" w:color="000000" w:sz="4" w:space="0"/>
            </w:tcBorders>
          </w:tcPr>
          <w:p>
            <w:pPr>
              <w:pStyle w:val="22"/>
              <w:spacing w:line="360" w:lineRule="auto"/>
              <w:rPr>
                <w:sz w:val="24"/>
                <w:szCs w:val="24"/>
              </w:rPr>
            </w:pPr>
            <w:r>
              <w:rPr>
                <w:sz w:val="24"/>
                <w:szCs w:val="24"/>
              </w:rPr>
              <w:t>to u_i)</w:t>
            </w:r>
          </w:p>
        </w:tc>
        <w:tc>
          <w:tcPr>
            <w:tcW w:w="900" w:type="dxa"/>
            <w:tcBorders>
              <w:bottom w:val="single" w:color="000000" w:sz="4" w:space="0"/>
            </w:tcBorders>
          </w:tcPr>
          <w:p>
            <w:pPr>
              <w:pStyle w:val="22"/>
              <w:spacing w:line="360" w:lineRule="auto"/>
              <w:rPr>
                <w:sz w:val="24"/>
                <w:szCs w:val="24"/>
              </w:rPr>
            </w:pPr>
          </w:p>
        </w:tc>
      </w:tr>
    </w:tbl>
    <w:p>
      <w:pPr>
        <w:pStyle w:val="22"/>
        <w:spacing w:line="360" w:lineRule="auto"/>
        <w:rPr>
          <w:sz w:val="24"/>
          <w:szCs w:val="24"/>
        </w:rPr>
      </w:pPr>
      <w:r>
        <w:rPr>
          <w:sz w:val="24"/>
          <w:szCs w:val="24"/>
        </w:rPr>
        <w:t>F test that all u_i=0: F(30, 275) = 13.95</w:t>
      </w:r>
      <w:r>
        <w:rPr>
          <w:sz w:val="24"/>
          <w:szCs w:val="24"/>
        </w:rPr>
        <w:tab/>
      </w:r>
      <w:r>
        <w:rPr>
          <w:sz w:val="24"/>
          <w:szCs w:val="24"/>
        </w:rPr>
        <w:t>Prob &gt; F =</w:t>
      </w:r>
      <w:r>
        <w:rPr>
          <w:sz w:val="24"/>
          <w:szCs w:val="24"/>
        </w:rPr>
        <w:tab/>
      </w:r>
      <w:r>
        <w:rPr>
          <w:sz w:val="24"/>
          <w:szCs w:val="24"/>
        </w:rPr>
        <w:t>0.0000</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At a 5% level of significance, the F-statistics in above demonstrate the effectiveness of the estimated models. Its value was 0.0000. These findings indicate that the model is better suited because its R-squared value is larger than 40%, its F-statistic value is significant, and its corresponding probability value is less than 5%. It may be argued that all independent variables are jointly significant to explain the dependent variable in this model because the R-squared value and F-statistic both showed improved results. Additionally, it satisfies the overarching goal and shows that, in the Sri Lankan context, green investment has a considerable impact on firm performance.</w:t>
      </w:r>
    </w:p>
    <w:p>
      <w:pPr>
        <w:spacing w:line="360" w:lineRule="auto"/>
        <w:rPr>
          <w:rFonts w:ascii="Times New Roman" w:hAnsi="Times New Roman" w:cs="Times New Roman"/>
          <w:position w:val="1"/>
          <w:sz w:val="24"/>
          <w:szCs w:val="24"/>
        </w:rPr>
      </w:pPr>
      <w:commentRangeStart w:id="23"/>
      <w:r>
        <w:rPr>
          <w:rFonts w:ascii="Times New Roman" w:hAnsi="Times New Roman" w:cs="Times New Roman"/>
          <w:b/>
          <w:bCs/>
          <w:sz w:val="24"/>
          <w:szCs w:val="24"/>
        </w:rPr>
        <w:t>H1:</w:t>
      </w:r>
      <w:r>
        <w:rPr>
          <w:rFonts w:ascii="Times New Roman" w:hAnsi="Times New Roman" w:cs="Times New Roman"/>
          <w:sz w:val="24"/>
          <w:szCs w:val="24"/>
        </w:rPr>
        <w:t xml:space="preserve"> </w:t>
      </w:r>
      <w:r>
        <w:rPr>
          <w:rFonts w:ascii="Times New Roman" w:hAnsi="Times New Roman" w:cs="Times New Roman"/>
          <w:position w:val="1"/>
          <w:sz w:val="24"/>
          <w:szCs w:val="24"/>
        </w:rPr>
        <w:t>There</w:t>
      </w:r>
      <w:r>
        <w:rPr>
          <w:rFonts w:ascii="Times New Roman" w:hAnsi="Times New Roman" w:cs="Times New Roman"/>
          <w:spacing w:val="-3"/>
          <w:position w:val="1"/>
          <w:sz w:val="24"/>
          <w:szCs w:val="24"/>
        </w:rPr>
        <w:t xml:space="preserve"> </w:t>
      </w:r>
      <w:r>
        <w:rPr>
          <w:rFonts w:ascii="Times New Roman" w:hAnsi="Times New Roman" w:cs="Times New Roman"/>
          <w:position w:val="1"/>
          <w:sz w:val="24"/>
          <w:szCs w:val="24"/>
        </w:rPr>
        <w:t>is</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an</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impact</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of Investment</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in</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renewable technologies</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on</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the</w:t>
      </w:r>
      <w:r>
        <w:rPr>
          <w:rFonts w:ascii="Times New Roman" w:hAnsi="Times New Roman" w:cs="Times New Roman"/>
          <w:spacing w:val="-2"/>
          <w:position w:val="1"/>
          <w:sz w:val="24"/>
          <w:szCs w:val="24"/>
        </w:rPr>
        <w:t xml:space="preserve"> </w:t>
      </w:r>
      <w:r>
        <w:rPr>
          <w:rFonts w:ascii="Times New Roman" w:hAnsi="Times New Roman" w:cs="Times New Roman"/>
          <w:position w:val="1"/>
          <w:sz w:val="24"/>
          <w:szCs w:val="24"/>
        </w:rPr>
        <w:t>firm</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performance.</w:t>
      </w:r>
      <w:commentRangeEnd w:id="23"/>
      <w:r>
        <w:rPr>
          <w:rStyle w:val="8"/>
        </w:rPr>
        <w:commentReference w:id="23"/>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Investment in renewable technology has a coefficient of</w:t>
      </w:r>
      <w:r>
        <w:rPr>
          <w:rFonts w:ascii="Times New Roman" w:hAnsi="Times New Roman" w:cs="Times New Roman"/>
          <w:bCs/>
          <w:sz w:val="24"/>
          <w:szCs w:val="24"/>
        </w:rPr>
        <w:t>-0</w:t>
      </w:r>
      <w:r>
        <w:rPr>
          <w:rFonts w:ascii="Times New Roman" w:hAnsi="Times New Roman" w:cs="Times New Roman"/>
          <w:bCs/>
          <w:spacing w:val="-2"/>
          <w:sz w:val="24"/>
          <w:szCs w:val="24"/>
        </w:rPr>
        <w:t>.2554722</w:t>
      </w:r>
      <w:r>
        <w:rPr>
          <w:rFonts w:ascii="Times New Roman" w:hAnsi="Times New Roman" w:cs="Times New Roman"/>
          <w:sz w:val="24"/>
          <w:szCs w:val="24"/>
        </w:rPr>
        <w:t xml:space="preserve">. Investment in renewable technologies has a P-value of </w:t>
      </w:r>
      <w:r>
        <w:rPr>
          <w:rFonts w:ascii="Times New Roman" w:hAnsi="Times New Roman" w:cs="Times New Roman"/>
          <w:bCs/>
          <w:spacing w:val="-2"/>
          <w:sz w:val="24"/>
          <w:szCs w:val="24"/>
        </w:rPr>
        <w:t>0.0351</w:t>
      </w:r>
      <w:r>
        <w:rPr>
          <w:rFonts w:ascii="Times New Roman" w:hAnsi="Times New Roman" w:cs="Times New Roman"/>
          <w:sz w:val="24"/>
          <w:szCs w:val="24"/>
        </w:rPr>
        <w:t>. It is lesser than the required P-Value (0.05). Therefore H1 is acceptable. Therefore, there is a significant effect of investment in renewable technology on the firm performance with a 95% confidence level.</w:t>
      </w:r>
    </w:p>
    <w:p>
      <w:pPr>
        <w:spacing w:line="360" w:lineRule="auto"/>
        <w:rPr>
          <w:rFonts w:ascii="Times New Roman" w:hAnsi="Times New Roman" w:cs="Times New Roman"/>
          <w:b/>
          <w:bCs/>
          <w:sz w:val="24"/>
          <w:szCs w:val="24"/>
          <w:u w:val="single"/>
        </w:rPr>
      </w:pPr>
      <w:r>
        <w:rPr>
          <w:rFonts w:ascii="Times New Roman" w:hAnsi="Times New Roman" w:cs="Times New Roman"/>
          <w:b/>
          <w:bCs/>
          <w:sz w:val="24"/>
          <w:szCs w:val="24"/>
        </w:rPr>
        <w:t>H2:</w:t>
      </w:r>
      <w:r>
        <w:rPr>
          <w:rFonts w:ascii="Times New Roman" w:hAnsi="Times New Roman" w:cs="Times New Roman"/>
          <w:sz w:val="24"/>
          <w:szCs w:val="24"/>
        </w:rPr>
        <w:t xml:space="preserve"> </w:t>
      </w:r>
      <w:bookmarkStart w:id="1" w:name="_Hlk147396521"/>
      <w:r>
        <w:rPr>
          <w:rFonts w:ascii="Times New Roman" w:hAnsi="Times New Roman" w:cs="Times New Roman"/>
          <w:position w:val="1"/>
          <w:sz w:val="24"/>
          <w:szCs w:val="24"/>
        </w:rPr>
        <w:t>There</w:t>
      </w:r>
      <w:r>
        <w:rPr>
          <w:rFonts w:ascii="Times New Roman" w:hAnsi="Times New Roman" w:cs="Times New Roman"/>
          <w:spacing w:val="-3"/>
          <w:position w:val="1"/>
          <w:sz w:val="24"/>
          <w:szCs w:val="24"/>
        </w:rPr>
        <w:t xml:space="preserve"> </w:t>
      </w:r>
      <w:r>
        <w:rPr>
          <w:rFonts w:ascii="Times New Roman" w:hAnsi="Times New Roman" w:cs="Times New Roman"/>
          <w:position w:val="1"/>
          <w:sz w:val="24"/>
          <w:szCs w:val="24"/>
        </w:rPr>
        <w:t>is</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an impact</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of</w:t>
      </w:r>
      <w:r>
        <w:rPr>
          <w:rFonts w:ascii="Times New Roman" w:hAnsi="Times New Roman" w:cs="Times New Roman"/>
          <w:spacing w:val="2"/>
          <w:position w:val="1"/>
          <w:sz w:val="24"/>
          <w:szCs w:val="24"/>
        </w:rPr>
        <w:t xml:space="preserve"> </w:t>
      </w:r>
      <w:r>
        <w:rPr>
          <w:rFonts w:ascii="Times New Roman" w:hAnsi="Times New Roman" w:cs="Times New Roman"/>
          <w:position w:val="1"/>
          <w:sz w:val="24"/>
          <w:szCs w:val="24"/>
        </w:rPr>
        <w:t>selected</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energy-efficient technologies</w:t>
      </w:r>
      <w:r>
        <w:rPr>
          <w:rFonts w:ascii="Times New Roman" w:hAnsi="Times New Roman" w:cs="Times New Roman"/>
          <w:spacing w:val="-2"/>
          <w:position w:val="1"/>
          <w:sz w:val="24"/>
          <w:szCs w:val="24"/>
        </w:rPr>
        <w:t xml:space="preserve"> </w:t>
      </w:r>
      <w:r>
        <w:rPr>
          <w:rFonts w:ascii="Times New Roman" w:hAnsi="Times New Roman" w:cs="Times New Roman"/>
          <w:position w:val="1"/>
          <w:sz w:val="24"/>
          <w:szCs w:val="24"/>
        </w:rPr>
        <w:t>on</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the firm</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performance</w:t>
      </w:r>
      <w:bookmarkEnd w:id="1"/>
      <w:r>
        <w:rPr>
          <w:rFonts w:ascii="Times New Roman" w:hAnsi="Times New Roman" w:cs="Times New Roman"/>
          <w:position w:val="1"/>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Investment in </w:t>
      </w:r>
      <w:r>
        <w:rPr>
          <w:rFonts w:ascii="Times New Roman" w:hAnsi="Times New Roman" w:cs="Times New Roman"/>
          <w:position w:val="1"/>
          <w:sz w:val="24"/>
          <w:szCs w:val="24"/>
        </w:rPr>
        <w:t>selected</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energy-efficient technologies</w:t>
      </w:r>
      <w:r>
        <w:rPr>
          <w:rFonts w:ascii="Times New Roman" w:hAnsi="Times New Roman" w:cs="Times New Roman"/>
          <w:spacing w:val="-2"/>
          <w:position w:val="1"/>
          <w:sz w:val="24"/>
          <w:szCs w:val="24"/>
        </w:rPr>
        <w:t xml:space="preserve"> </w:t>
      </w:r>
      <w:r>
        <w:rPr>
          <w:rFonts w:ascii="Times New Roman" w:hAnsi="Times New Roman" w:cs="Times New Roman"/>
          <w:sz w:val="24"/>
          <w:szCs w:val="24"/>
        </w:rPr>
        <w:t>has a coefficient of</w:t>
      </w:r>
      <w:r>
        <w:rPr>
          <w:rFonts w:ascii="Times New Roman" w:hAnsi="Times New Roman" w:cs="Times New Roman"/>
          <w:bCs/>
          <w:sz w:val="24"/>
          <w:szCs w:val="24"/>
        </w:rPr>
        <w:t xml:space="preserve"> </w:t>
      </w:r>
      <w:r>
        <w:rPr>
          <w:rFonts w:ascii="Times New Roman" w:hAnsi="Times New Roman" w:cs="Times New Roman"/>
          <w:bCs/>
          <w:spacing w:val="-2"/>
          <w:sz w:val="24"/>
          <w:szCs w:val="24"/>
        </w:rPr>
        <w:t>1.314243</w:t>
      </w:r>
      <w:r>
        <w:rPr>
          <w:rFonts w:ascii="Times New Roman" w:hAnsi="Times New Roman" w:cs="Times New Roman"/>
          <w:sz w:val="24"/>
          <w:szCs w:val="24"/>
        </w:rPr>
        <w:t xml:space="preserve">. Investment in </w:t>
      </w:r>
      <w:r>
        <w:rPr>
          <w:rFonts w:ascii="Times New Roman" w:hAnsi="Times New Roman" w:cs="Times New Roman"/>
          <w:position w:val="1"/>
          <w:sz w:val="24"/>
          <w:szCs w:val="24"/>
        </w:rPr>
        <w:t>selected</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energy-efficient technologies</w:t>
      </w:r>
      <w:r>
        <w:rPr>
          <w:rFonts w:ascii="Times New Roman" w:hAnsi="Times New Roman" w:cs="Times New Roman"/>
          <w:spacing w:val="-2"/>
          <w:position w:val="1"/>
          <w:sz w:val="24"/>
          <w:szCs w:val="24"/>
        </w:rPr>
        <w:t xml:space="preserve"> </w:t>
      </w:r>
      <w:r>
        <w:rPr>
          <w:rFonts w:ascii="Times New Roman" w:hAnsi="Times New Roman" w:cs="Times New Roman"/>
          <w:sz w:val="24"/>
          <w:szCs w:val="24"/>
        </w:rPr>
        <w:t xml:space="preserve">has a P-value of </w:t>
      </w:r>
      <w:r>
        <w:rPr>
          <w:rFonts w:ascii="Times New Roman" w:hAnsi="Times New Roman" w:cs="Times New Roman"/>
          <w:bCs/>
          <w:spacing w:val="-2"/>
          <w:sz w:val="24"/>
          <w:szCs w:val="24"/>
        </w:rPr>
        <w:t>0.0425</w:t>
      </w:r>
      <w:r>
        <w:rPr>
          <w:rFonts w:ascii="Times New Roman" w:hAnsi="Times New Roman" w:cs="Times New Roman"/>
          <w:sz w:val="24"/>
          <w:szCs w:val="24"/>
        </w:rPr>
        <w:t xml:space="preserve">. It is lesser than the required P-Value (0.05). Therefore, H1 is acceptable. Therefore, there is a significant effect of investment in </w:t>
      </w:r>
      <w:r>
        <w:rPr>
          <w:rFonts w:ascii="Times New Roman" w:hAnsi="Times New Roman" w:cs="Times New Roman"/>
          <w:position w:val="1"/>
          <w:sz w:val="24"/>
          <w:szCs w:val="24"/>
        </w:rPr>
        <w:t>selected</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energy-efficient technologies</w:t>
      </w:r>
      <w:r>
        <w:rPr>
          <w:rFonts w:ascii="Times New Roman" w:hAnsi="Times New Roman" w:cs="Times New Roman"/>
          <w:sz w:val="24"/>
          <w:szCs w:val="24"/>
        </w:rPr>
        <w:t xml:space="preserve"> on the firm performance with a 95% confidence level.</w:t>
      </w:r>
    </w:p>
    <w:p>
      <w:pPr>
        <w:spacing w:line="360" w:lineRule="auto"/>
        <w:rPr>
          <w:rFonts w:ascii="Times New Roman" w:hAnsi="Times New Roman" w:cs="Times New Roman"/>
          <w:sz w:val="24"/>
          <w:szCs w:val="24"/>
        </w:rPr>
      </w:pPr>
      <w:r>
        <w:rPr>
          <w:rFonts w:ascii="Times New Roman" w:hAnsi="Times New Roman" w:cs="Times New Roman"/>
          <w:b/>
          <w:sz w:val="24"/>
          <w:szCs w:val="24"/>
        </w:rPr>
        <w:t xml:space="preserve">H3: </w:t>
      </w:r>
      <w:r>
        <w:rPr>
          <w:rFonts w:ascii="Times New Roman" w:hAnsi="Times New Roman" w:cs="Times New Roman"/>
          <w:sz w:val="24"/>
          <w:szCs w:val="24"/>
        </w:rPr>
        <w:t>There is an impact of Investment in recyclable &amp; sustainable materials on the firm</w:t>
      </w:r>
      <w:r>
        <w:rPr>
          <w:rFonts w:ascii="Times New Roman" w:hAnsi="Times New Roman" w:cs="Times New Roman"/>
          <w:spacing w:val="-57"/>
          <w:sz w:val="24"/>
          <w:szCs w:val="24"/>
        </w:rPr>
        <w:t xml:space="preserve"> </w:t>
      </w:r>
      <w:r>
        <w:rPr>
          <w:rFonts w:ascii="Times New Roman" w:hAnsi="Times New Roman" w:cs="Times New Roman"/>
          <w:sz w:val="24"/>
          <w:szCs w:val="24"/>
        </w:rPr>
        <w:t>performance.</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Investment in recyclable &amp; sustainable materials has a coefficient of</w:t>
      </w:r>
      <w:r>
        <w:rPr>
          <w:rFonts w:ascii="Times New Roman" w:hAnsi="Times New Roman" w:cs="Times New Roman"/>
          <w:bCs/>
          <w:spacing w:val="-2"/>
          <w:sz w:val="24"/>
          <w:szCs w:val="24"/>
        </w:rPr>
        <w:t xml:space="preserve"> </w:t>
      </w:r>
      <w:r>
        <w:rPr>
          <w:rFonts w:ascii="Times New Roman" w:hAnsi="Times New Roman" w:cs="Times New Roman"/>
          <w:bCs/>
          <w:sz w:val="24"/>
          <w:szCs w:val="24"/>
        </w:rPr>
        <w:t>-</w:t>
      </w:r>
      <w:r>
        <w:rPr>
          <w:rFonts w:ascii="Times New Roman" w:hAnsi="Times New Roman" w:cs="Times New Roman"/>
          <w:bCs/>
          <w:spacing w:val="-2"/>
          <w:sz w:val="24"/>
          <w:szCs w:val="24"/>
        </w:rPr>
        <w:t>2.357683</w:t>
      </w:r>
      <w:r>
        <w:rPr>
          <w:rFonts w:ascii="Times New Roman" w:hAnsi="Times New Roman" w:cs="Times New Roman"/>
          <w:sz w:val="24"/>
          <w:szCs w:val="24"/>
        </w:rPr>
        <w:t>. Investment in recyclable &amp; sustainable materials has a P-value of</w:t>
      </w:r>
      <w:r>
        <w:rPr>
          <w:rFonts w:ascii="Times New Roman" w:hAnsi="Times New Roman" w:cs="Times New Roman"/>
          <w:bCs/>
          <w:spacing w:val="-2"/>
          <w:sz w:val="24"/>
          <w:szCs w:val="24"/>
        </w:rPr>
        <w:t xml:space="preserve"> 0.129</w:t>
      </w:r>
      <w:r>
        <w:rPr>
          <w:rFonts w:ascii="Times New Roman" w:hAnsi="Times New Roman" w:cs="Times New Roman"/>
          <w:sz w:val="24"/>
          <w:szCs w:val="24"/>
        </w:rPr>
        <w:t xml:space="preserve">. It is higher than the required P-value (0.05). Therefore, H1 is not acceptable. Therefore, there is no effect of investment in </w:t>
      </w:r>
      <w:r>
        <w:rPr>
          <w:rFonts w:ascii="Times New Roman" w:hAnsi="Times New Roman" w:cs="Times New Roman"/>
          <w:position w:val="1"/>
          <w:sz w:val="24"/>
          <w:szCs w:val="24"/>
        </w:rPr>
        <w:t>selected</w:t>
      </w:r>
      <w:r>
        <w:rPr>
          <w:rFonts w:ascii="Times New Roman" w:hAnsi="Times New Roman" w:cs="Times New Roman"/>
          <w:spacing w:val="-1"/>
          <w:position w:val="1"/>
          <w:sz w:val="24"/>
          <w:szCs w:val="24"/>
        </w:rPr>
        <w:t xml:space="preserve"> </w:t>
      </w:r>
      <w:r>
        <w:rPr>
          <w:rFonts w:ascii="Times New Roman" w:hAnsi="Times New Roman" w:cs="Times New Roman"/>
          <w:position w:val="1"/>
          <w:sz w:val="24"/>
          <w:szCs w:val="24"/>
        </w:rPr>
        <w:t>energy-efficient technologies</w:t>
      </w:r>
      <w:r>
        <w:rPr>
          <w:rFonts w:ascii="Times New Roman" w:hAnsi="Times New Roman" w:cs="Times New Roman"/>
          <w:sz w:val="24"/>
          <w:szCs w:val="24"/>
        </w:rPr>
        <w:t xml:space="preserve"> on the firm performance with a 95% confidence level.</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table summarizes the analysis of each study objective and provides the conclusion of the hypothesis testing.</w:t>
      </w:r>
    </w:p>
    <w:p>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Table 04: Hypotheses Testing Results</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12"/>
        <w:gridCol w:w="4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shd w:val="clear" w:color="auto" w:fill="D8D8D8" w:themeFill="background1" w:themeFillShade="D9"/>
          </w:tcPr>
          <w:p>
            <w:pPr>
              <w:pStyle w:val="22"/>
              <w:spacing w:line="360" w:lineRule="auto"/>
              <w:rPr>
                <w:sz w:val="24"/>
                <w:szCs w:val="24"/>
              </w:rPr>
            </w:pPr>
            <w:r>
              <w:rPr>
                <w:sz w:val="24"/>
                <w:szCs w:val="24"/>
              </w:rPr>
              <w:t>Variable</w:t>
            </w:r>
          </w:p>
        </w:tc>
        <w:tc>
          <w:tcPr>
            <w:tcW w:w="4428" w:type="dxa"/>
            <w:shd w:val="clear" w:color="auto" w:fill="D8D8D8" w:themeFill="background1" w:themeFillShade="D9"/>
          </w:tcPr>
          <w:p>
            <w:pPr>
              <w:pStyle w:val="22"/>
              <w:spacing w:line="360" w:lineRule="auto"/>
              <w:rPr>
                <w:sz w:val="24"/>
                <w:szCs w:val="24"/>
              </w:rPr>
            </w:pPr>
            <w:r>
              <w:rPr>
                <w:sz w:val="24"/>
                <w:szCs w:val="24"/>
              </w:rPr>
              <w:t>Fixed Effect Model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7" w:hRule="atLeast"/>
        </w:trPr>
        <w:tc>
          <w:tcPr>
            <w:tcW w:w="4428" w:type="dxa"/>
          </w:tcPr>
          <w:p>
            <w:pPr>
              <w:pStyle w:val="22"/>
              <w:spacing w:line="360" w:lineRule="auto"/>
              <w:rPr>
                <w:sz w:val="24"/>
                <w:szCs w:val="24"/>
              </w:rPr>
            </w:pPr>
            <w:r>
              <w:rPr>
                <w:sz w:val="24"/>
                <w:szCs w:val="24"/>
              </w:rPr>
              <w:t>Investment in renewable technologies</w:t>
            </w:r>
          </w:p>
        </w:tc>
        <w:tc>
          <w:tcPr>
            <w:tcW w:w="4428" w:type="dxa"/>
          </w:tcPr>
          <w:p>
            <w:pPr>
              <w:pStyle w:val="22"/>
              <w:spacing w:line="360" w:lineRule="auto"/>
              <w:rPr>
                <w:sz w:val="24"/>
                <w:szCs w:val="24"/>
              </w:rPr>
            </w:pPr>
            <w:r>
              <w:rPr>
                <w:sz w:val="24"/>
                <w:szCs w:val="24"/>
              </w:rPr>
              <w:t>Accept H1 : There is a significant influence between investment in renewable technologies and firm performance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7" w:hRule="atLeast"/>
        </w:trPr>
        <w:tc>
          <w:tcPr>
            <w:tcW w:w="4428" w:type="dxa"/>
          </w:tcPr>
          <w:p>
            <w:pPr>
              <w:pStyle w:val="22"/>
              <w:spacing w:line="360" w:lineRule="auto"/>
              <w:rPr>
                <w:sz w:val="24"/>
                <w:szCs w:val="24"/>
              </w:rPr>
            </w:pPr>
            <w:r>
              <w:rPr>
                <w:sz w:val="24"/>
                <w:szCs w:val="24"/>
              </w:rPr>
              <w:t>investment in energy-efficient technologies</w:t>
            </w:r>
          </w:p>
        </w:tc>
        <w:tc>
          <w:tcPr>
            <w:tcW w:w="4428" w:type="dxa"/>
          </w:tcPr>
          <w:p>
            <w:pPr>
              <w:pStyle w:val="22"/>
              <w:spacing w:line="360" w:lineRule="auto"/>
              <w:rPr>
                <w:sz w:val="24"/>
                <w:szCs w:val="24"/>
              </w:rPr>
            </w:pPr>
            <w:r>
              <w:rPr>
                <w:sz w:val="24"/>
                <w:szCs w:val="24"/>
              </w:rPr>
              <w:t>Accept H1 : There is a significant influence between  investment in energy-efficient technologies and firm performance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3" w:hRule="atLeast"/>
        </w:trPr>
        <w:tc>
          <w:tcPr>
            <w:tcW w:w="4428" w:type="dxa"/>
          </w:tcPr>
          <w:p>
            <w:pPr>
              <w:pStyle w:val="22"/>
              <w:spacing w:line="360" w:lineRule="auto"/>
              <w:rPr>
                <w:sz w:val="24"/>
                <w:szCs w:val="24"/>
              </w:rPr>
            </w:pPr>
            <w:r>
              <w:rPr>
                <w:sz w:val="24"/>
                <w:szCs w:val="24"/>
              </w:rPr>
              <w:t>investment in recyclable and sustainable materials</w:t>
            </w:r>
          </w:p>
        </w:tc>
        <w:tc>
          <w:tcPr>
            <w:tcW w:w="4428" w:type="dxa"/>
          </w:tcPr>
          <w:p>
            <w:pPr>
              <w:pStyle w:val="22"/>
              <w:spacing w:line="360" w:lineRule="auto"/>
              <w:rPr>
                <w:sz w:val="24"/>
                <w:szCs w:val="24"/>
              </w:rPr>
            </w:pPr>
            <w:r>
              <w:rPr>
                <w:sz w:val="24"/>
                <w:szCs w:val="24"/>
              </w:rPr>
              <w:t xml:space="preserve">Reject H1: There is no significant influence between investment in recyclable and sustainable materials and firm performance. </w:t>
            </w:r>
          </w:p>
        </w:tc>
      </w:tr>
    </w:tbl>
    <w:p>
      <w:pPr>
        <w:pStyle w:val="2"/>
        <w:spacing w:after="200" w:line="360" w:lineRule="auto"/>
        <w:rPr>
          <w:rFonts w:ascii="Times New Roman" w:hAnsi="Times New Roman" w:cs="Times New Roman"/>
          <w:b/>
          <w:bCs/>
          <w:color w:val="auto"/>
          <w:sz w:val="28"/>
          <w:szCs w:val="28"/>
        </w:rPr>
      </w:pPr>
      <w:r>
        <w:rPr>
          <w:rFonts w:ascii="Times New Roman" w:hAnsi="Times New Roman" w:cs="Times New Roman"/>
          <w:b/>
          <w:bCs/>
          <w:color w:val="auto"/>
          <w:sz w:val="28"/>
          <w:szCs w:val="28"/>
        </w:rPr>
        <w:t>Conclusion</w:t>
      </w:r>
      <w:commentRangeStart w:id="24"/>
      <w:r>
        <w:rPr>
          <w:rFonts w:ascii="Times New Roman" w:hAnsi="Times New Roman" w:cs="Times New Roman"/>
          <w:b/>
          <w:bCs/>
          <w:color w:val="auto"/>
          <w:sz w:val="28"/>
          <w:szCs w:val="28"/>
        </w:rPr>
        <w:t xml:space="preserve"> </w:t>
      </w:r>
      <w:commentRangeEnd w:id="24"/>
      <w:r>
        <w:rPr>
          <w:rStyle w:val="8"/>
          <w:rFonts w:cs="Latha" w:asciiTheme="minorHAnsi" w:hAnsiTheme="minorHAnsi" w:eastAsiaTheme="minorHAnsi"/>
          <w:color w:val="auto"/>
        </w:rPr>
        <w:commentReference w:id="24"/>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major goal of this study is to analyze the impact of green investments on the performance of 31 manufacturing businesses listed on the Colombo Stock Exchange (CSE) in the manufacturing sector. The researcher focused on three critical areas of green investment to reach this goal: investments in sustainable and recyclable materials, energy-efficient technologies, and chosen renewable technologies. To understand how various aspects of green investment connect to corporate performance, hypotheses have been developed and tested. A descriptive analysis of company performance is also included in the study to establish the overall impact of green investments on performance. The findings show that investments in recyclable and sustainable materials have a substantial influence on firm performance across the three categories of green investment studied. However, two other factors, investments in renewable technologies and selected energy-efficient technologies, had no substantial impact on business performance. As a consequence, the researcher stated that green investments have a considerable positive influence on the performance of the enterprises under study, owing mostly to investments in recyclable and sustainable materials. This shows that adopting sustainable methods and using recyclable materials might increase firm performance for the manufacturing enterprises in issue (Guthrie et al., 2008). The study's findings are consistent with earlier research that has found that green investments improve corporate performance (Indriastuti &amp; Chariri, 2021). Investments in environmentally friendly and sustainable practices have been found to improve operational efficiency, cut expenses, and strengthen a company's reputation as an ecologically responsible institution. Customers increasingly respect environmentally conscious enterprises and choose eco-friendly products, therefore such practices are related with earning a competitive edge in the market (Ortas et al., 2013). Overall, this study adds to our understanding of the link between green investments and business performance by stressing the importance of investments in recyclable and sustainable materials in producing favorable outcomes for manufacturing enterprises. It adds to the expanding corpus of literature on sustainable practices by emphasizing the necessity of incorporating green investment techniques into corporate operations to improve long-term performance and sustainability (Eyraud et al., 2011).</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study's results have important implications for a wide range of stakeholders, including policymakers, corporate governance standard-setters, regulators, investors, and academics interested in green investing practices in the manufacturing sector. The study gives light on the link between green investments and corporate success, allowing these stakeholders to make educated decisions and modify their strategy accordingly. According to the data analysis undertaken by the researcher, green investments do have a significant effect on corporate performance. Investing in recyclable and sustainable materials, in particular, emerges as a critical driver of increased company performance. This research emphasizes the need of implementing sustainable practices and using recyclable materials in manufacturing enterprises' operations. The study, on the other hand, finds that the other two factors under consideration, namely expenditures in renewable technologies and energy-efficient technologies, have no meaningful influence on business performance. While these expenditures may still be environmentally beneficial, they may not result in significant improvements in the financial performance of Sri Lankan manufacturing enterprises. As a consequence, the study's findings show that focusing only on green investing techniques in recyclable and sustainable materials may be more profitable for Sri Lankan manufacturing enterprises. These findings can be used by policymakers and corporate governance standard-setters when developing legislation and recommendations to support sustainable practices and green investments in the industrial sector.  The insights may be used by regulators to analyze the performance of existing rules and suggest places where further assistance or incentives may be needed to promote green investments.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gives vital information to investors to help them make investing decisions. When examining the prospective performance and long-term sustainability of manufacturing enterprises in their portfolios, they might examine the relevance of green investing strategies, particularly those connected to recyclable and sustainable materials.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scientists and researchers interested in green investments might expand on these findings to investigate the influence of specific investment methods on corporate performance. They can study the causes for the disparities in the effects of various green investment characteristics, as well as how other factors may influence the link between green investments and business performance. This study concentrated on a narrow range of green investment characteristics, including investments in renewable technologies, specific energy-efficient technologies, and recyclable and sustainable materials. However, there is need for future study to investigate additional elements of green investments, such as business characteristics and corporate governance issues. Furthermore, future researchers wanting more strong and reliable data may consider using primary data gathering methods such as surveys, interviews, or a mix of the two. These approaches can assist in gathering first-hand information directly from manufacturers, allowing for a more nuanced and in-depth investigation of green investment policies and their influence on business performance. Researchers can improve the reliability and validity of their findings by using a multi-method strategy. The use of questionnaires and interviews enables for the examination of participants' opinions, experiences, and motives for green investments, in addition to the quantitative data gathered through financial reports and databases.</w:t>
      </w:r>
    </w:p>
    <w:p>
      <w:pPr>
        <w:pStyle w:val="2"/>
        <w:spacing w:after="200" w:line="360" w:lineRule="auto"/>
        <w:rPr>
          <w:rFonts w:ascii="Times New Roman" w:hAnsi="Times New Roman" w:cs="Times New Roman"/>
          <w:b/>
          <w:bCs/>
          <w:color w:val="auto"/>
          <w:sz w:val="28"/>
          <w:szCs w:val="28"/>
        </w:rPr>
      </w:pPr>
      <w:commentRangeStart w:id="25"/>
      <w:r>
        <w:rPr>
          <w:rFonts w:ascii="Times New Roman" w:hAnsi="Times New Roman" w:cs="Times New Roman"/>
          <w:b/>
          <w:bCs/>
          <w:color w:val="auto"/>
          <w:sz w:val="28"/>
          <w:szCs w:val="28"/>
        </w:rPr>
        <w:t>References</w:t>
      </w:r>
      <w:commentRangeEnd w:id="25"/>
      <w:r>
        <w:rPr>
          <w:rStyle w:val="8"/>
          <w:rFonts w:cs="Latha" w:asciiTheme="minorHAnsi" w:hAnsiTheme="minorHAnsi" w:eastAsiaTheme="minorHAnsi"/>
          <w:color w:val="auto"/>
        </w:rPr>
        <w:commentReference w:id="25"/>
      </w:r>
    </w:p>
    <w:p>
      <w:pPr>
        <w:pStyle w:val="16"/>
        <w:spacing w:line="360" w:lineRule="auto"/>
        <w:ind w:left="720" w:hanging="747"/>
        <w:jc w:val="both"/>
      </w:pPr>
      <w:r>
        <w:t xml:space="preserve">Armah, F. A., Obiri, S., Yawson, D. O., Afrifa, E. K. A., Yengoh, G. T., Olsson, J. A., &amp; Odoi, J. O. (2011). Assessment of legal framework for corporate environmental behaviour and perceptions of residents in mining communities in Ghana. </w:t>
      </w:r>
      <w:r>
        <w:rPr>
          <w:i/>
          <w:iCs/>
        </w:rPr>
        <w:t>Journal of Environmental Planning and Management</w:t>
      </w:r>
      <w:r>
        <w:t xml:space="preserve">, </w:t>
      </w:r>
      <w:r>
        <w:rPr>
          <w:i/>
          <w:iCs/>
        </w:rPr>
        <w:t>54</w:t>
      </w:r>
      <w:r>
        <w:t xml:space="preserve">(2), 193–209. </w:t>
      </w:r>
      <w:r>
        <w:fldChar w:fldCharType="begin"/>
      </w:r>
      <w:r>
        <w:instrText xml:space="preserve"> HYPERLINK "https://doi.org/10.1080/09640568.2010.505818" </w:instrText>
      </w:r>
      <w:r>
        <w:fldChar w:fldCharType="separate"/>
      </w:r>
      <w:r>
        <w:rPr>
          <w:rStyle w:val="15"/>
        </w:rPr>
        <w:t>https://doi.org/10.1080/09640568.2010.505818</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Castka, P., &amp;amp; Prajogo, D. (2013). The effect of pressure from secondary stakeholders on the internalization of ISO 14001. Journal of Cleaner Production, 47, 245–252. </w:t>
      </w:r>
      <w:r>
        <w:fldChar w:fldCharType="begin"/>
      </w:r>
      <w:r>
        <w:instrText xml:space="preserve"> HYPERLINK "https://doi.org/10.1016/j.jclepro.2012.12.034" </w:instrText>
      </w:r>
      <w:r>
        <w:fldChar w:fldCharType="separate"/>
      </w:r>
      <w:r>
        <w:rPr>
          <w:rStyle w:val="15"/>
          <w:rFonts w:ascii="Times New Roman" w:hAnsi="Times New Roman" w:cs="Times New Roman"/>
          <w:sz w:val="24"/>
          <w:szCs w:val="24"/>
          <w:shd w:val="clear" w:color="auto" w:fill="FFFFFF"/>
        </w:rPr>
        <w:t>https://doi.org/10.1016/j.jclepro.2012.12.034</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rPr>
          <w:color w:val="222222"/>
          <w:shd w:val="clear" w:color="auto" w:fill="FFFFFF"/>
        </w:rPr>
        <w:t xml:space="preserve">Chang, R.-D., Zuo, J., Zhao, Z.-Y., Zillante, G., Gan, X.-L., &amp;amp; Soebarto, V. (2017). Evolving theories of sustainability and firms: History, Future Directions and implications for Renewable </w:t>
      </w:r>
      <w:r>
        <w:t xml:space="preserve">David Diltz, J. (1995). The private cost of socially responsible investing. </w:t>
      </w:r>
      <w:r>
        <w:rPr>
          <w:i/>
          <w:iCs/>
        </w:rPr>
        <w:t>Applied Financial Economics</w:t>
      </w:r>
      <w:r>
        <w:t xml:space="preserve">, </w:t>
      </w:r>
      <w:r>
        <w:rPr>
          <w:i/>
          <w:iCs/>
        </w:rPr>
        <w:t>5</w:t>
      </w:r>
      <w:r>
        <w:t xml:space="preserve">(2), 69–77. </w:t>
      </w:r>
      <w:r>
        <w:fldChar w:fldCharType="begin"/>
      </w:r>
      <w:r>
        <w:instrText xml:space="preserve"> HYPERLINK "https://doi.org/10.1080/758529174" </w:instrText>
      </w:r>
      <w:r>
        <w:fldChar w:fldCharType="separate"/>
      </w:r>
      <w:r>
        <w:rPr>
          <w:rStyle w:val="15"/>
        </w:rPr>
        <w:t>https://doi.org/10.1080/758529174</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Chang, R.-D., Zuo, J., Zhao, Z.-Y., Zillante, G., Gan, X.-L., &amp;amp; Soebarto, V. (2017). Evolving theories of sustainability and firms: History, Future Directions and implications for Renewable Energy Research. Renewable and Sustainable Energy Reviews, 72, 48–56. </w:t>
      </w:r>
      <w:r>
        <w:fldChar w:fldCharType="begin"/>
      </w:r>
      <w:r>
        <w:instrText xml:space="preserve"> HYPERLINK "https://doi.org/10.1016/j.rser.2017.01.029" </w:instrText>
      </w:r>
      <w:r>
        <w:fldChar w:fldCharType="separate"/>
      </w:r>
      <w:r>
        <w:rPr>
          <w:rStyle w:val="15"/>
          <w:rFonts w:ascii="Times New Roman" w:hAnsi="Times New Roman" w:cs="Times New Roman"/>
          <w:sz w:val="24"/>
          <w:szCs w:val="24"/>
          <w:shd w:val="clear" w:color="auto" w:fill="FFFFFF"/>
        </w:rPr>
        <w:t>https://doi.org/10.1016/j.rser.2017.01.029</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Chariri, A., Ratna Sari Br Bukit, G., Bethary Eklesia, O., Uly Christi, B., &amp;amp; Meirisa Tarigan, D. (2018). Does Green Investment Increase Financial Performance? empirical evidence from Indonesian companies. E3S Web of Conferences, 31, 09001. </w:t>
      </w:r>
      <w:r>
        <w:fldChar w:fldCharType="begin"/>
      </w:r>
      <w:r>
        <w:instrText xml:space="preserve"> HYPERLINK "https://doi.org/10.1051/e3sconf/20183109001" </w:instrText>
      </w:r>
      <w:r>
        <w:fldChar w:fldCharType="separate"/>
      </w:r>
      <w:r>
        <w:rPr>
          <w:rStyle w:val="15"/>
          <w:rFonts w:ascii="Times New Roman" w:hAnsi="Times New Roman" w:cs="Times New Roman"/>
          <w:sz w:val="24"/>
          <w:szCs w:val="24"/>
          <w:shd w:val="clear" w:color="auto" w:fill="FFFFFF"/>
        </w:rPr>
        <w:t>https://doi.org/10.1051/e3sconf/20183109001</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Cordeiro, J. J., &amp; Sarkis, J. (1997). Environmental proactivism and firm performance: Evidence from security analyst earnings forecasts. </w:t>
      </w:r>
      <w:r>
        <w:rPr>
          <w:i/>
          <w:iCs/>
        </w:rPr>
        <w:t>Business Strategy and the Environment</w:t>
      </w:r>
      <w:r>
        <w:t xml:space="preserve">, </w:t>
      </w:r>
      <w:r>
        <w:rPr>
          <w:i/>
          <w:iCs/>
        </w:rPr>
        <w:t>6</w:t>
      </w:r>
      <w:r>
        <w:t xml:space="preserve">(2), 104–114. </w:t>
      </w:r>
      <w:r>
        <w:fldChar w:fldCharType="begin"/>
      </w:r>
      <w:r>
        <w:instrText xml:space="preserve"> HYPERLINK "https://doi.org/10.1002/(sici)1099-0836(199705)6:2%3c104::aid-bse102%3e3.0.co;2-t" </w:instrText>
      </w:r>
      <w:r>
        <w:fldChar w:fldCharType="separate"/>
      </w:r>
      <w:r>
        <w:rPr>
          <w:rStyle w:val="15"/>
        </w:rPr>
        <w:t>https://doi.org/10.1002/(sici)1099-0836(199705)6:2&lt;104::aid-bse102&gt;3.0.co;2-t</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Costanza, R., &amp;amp; Daly, H. E. (1992). Natural Capital and Sustainable Development. Conservation Biology, 6(1), 37–46. </w:t>
      </w:r>
      <w:r>
        <w:fldChar w:fldCharType="begin"/>
      </w:r>
      <w:r>
        <w:instrText xml:space="preserve"> HYPERLINK "https://doi.org/10.1046/j.1523-1739.1992.610037.x" </w:instrText>
      </w:r>
      <w:r>
        <w:fldChar w:fldCharType="separate"/>
      </w:r>
      <w:r>
        <w:rPr>
          <w:rStyle w:val="15"/>
          <w:rFonts w:ascii="Times New Roman" w:hAnsi="Times New Roman" w:cs="Times New Roman"/>
          <w:sz w:val="24"/>
          <w:szCs w:val="24"/>
          <w:shd w:val="clear" w:color="auto" w:fill="FFFFFF"/>
        </w:rPr>
        <w:t>https://doi.org/10.1046/j.1523-1739.1992.610037.x</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Doval, E., &amp; Negulescu, O. (2014). A model of Green Investments Approach. </w:t>
      </w:r>
      <w:r>
        <w:rPr>
          <w:i/>
          <w:iCs/>
        </w:rPr>
        <w:t>Procedia Economics and Finance</w:t>
      </w:r>
      <w:r>
        <w:t xml:space="preserve">, </w:t>
      </w:r>
      <w:r>
        <w:rPr>
          <w:i/>
          <w:iCs/>
        </w:rPr>
        <w:t>15</w:t>
      </w:r>
      <w:r>
        <w:t xml:space="preserve">, 847–852. </w:t>
      </w:r>
      <w:r>
        <w:fldChar w:fldCharType="begin"/>
      </w:r>
      <w:r>
        <w:instrText xml:space="preserve"> HYPERLINK "https://doi.org/10.1016/s2212-5671(14)00545-0" </w:instrText>
      </w:r>
      <w:r>
        <w:fldChar w:fldCharType="separate"/>
      </w:r>
      <w:r>
        <w:rPr>
          <w:rStyle w:val="15"/>
        </w:rPr>
        <w:t>https://doi.org/10.1016/s2212-5671(14)00545-0</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Eyraud, L., Wane, A. A., Zhang, C., &amp;amp; Clements, B. (2011). Who’s going Green and why? trends and determinants of Green Investment. SSRN Electronic Journal. </w:t>
      </w:r>
      <w:r>
        <w:fldChar w:fldCharType="begin"/>
      </w:r>
      <w:r>
        <w:instrText xml:space="preserve"> HYPERLINK "https://doi.org/10.2139/ssrn.1974848" </w:instrText>
      </w:r>
      <w:r>
        <w:fldChar w:fldCharType="separate"/>
      </w:r>
      <w:r>
        <w:rPr>
          <w:rStyle w:val="15"/>
          <w:rFonts w:ascii="Times New Roman" w:hAnsi="Times New Roman" w:cs="Times New Roman"/>
          <w:sz w:val="24"/>
          <w:szCs w:val="24"/>
          <w:shd w:val="clear" w:color="auto" w:fill="FFFFFF"/>
        </w:rPr>
        <w:t>https://doi.org/10.2139/ssrn.1974848</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Goodland, R., &amp;amp; Ledec, G. (1986). Environmental Management in Sustainable Economic Development. Impact Assessment, 5(2), 50–81. </w:t>
      </w:r>
      <w:r>
        <w:fldChar w:fldCharType="begin"/>
      </w:r>
      <w:r>
        <w:instrText xml:space="preserve"> HYPERLINK "https://doi.org/10.1080/07349165.1986.9725582" </w:instrText>
      </w:r>
      <w:r>
        <w:fldChar w:fldCharType="separate"/>
      </w:r>
      <w:r>
        <w:rPr>
          <w:rStyle w:val="15"/>
          <w:rFonts w:ascii="Times New Roman" w:hAnsi="Times New Roman" w:cs="Times New Roman"/>
          <w:sz w:val="24"/>
          <w:szCs w:val="24"/>
          <w:shd w:val="clear" w:color="auto" w:fill="FFFFFF"/>
        </w:rPr>
        <w:t>https://doi.org/10.1080/07349165.1986.9725582</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Goodland, R., &amp;amp; Ledec, G. (1987). Neoclassical economics and principles of sustainable development. Ecological Modelling, 38(1–2), 19–46. </w:t>
      </w:r>
      <w:r>
        <w:fldChar w:fldCharType="begin"/>
      </w:r>
      <w:r>
        <w:instrText xml:space="preserve"> HYPERLINK "https://doi.org/10.1016/0304-3800(87)90043-3" </w:instrText>
      </w:r>
      <w:r>
        <w:fldChar w:fldCharType="separate"/>
      </w:r>
      <w:r>
        <w:rPr>
          <w:rStyle w:val="15"/>
          <w:rFonts w:ascii="Times New Roman" w:hAnsi="Times New Roman" w:cs="Times New Roman"/>
          <w:sz w:val="24"/>
          <w:szCs w:val="24"/>
          <w:shd w:val="clear" w:color="auto" w:fill="FFFFFF"/>
        </w:rPr>
        <w:t>https://doi.org/10.1016/0304-3800(87)90043-3</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Gilley, K. M., Worrell, D. L., Davidson, W. N., &amp; El–Jelly, A. (2000). Corporate Environmental Initiatives and anticipated firm performance: The Differential Effects of process-driven versus product-driven greening initiatives. </w:t>
      </w:r>
      <w:r>
        <w:rPr>
          <w:i/>
          <w:iCs/>
        </w:rPr>
        <w:t>Journal of Management</w:t>
      </w:r>
      <w:r>
        <w:t xml:space="preserve">, </w:t>
      </w:r>
      <w:r>
        <w:rPr>
          <w:i/>
          <w:iCs/>
        </w:rPr>
        <w:t>26</w:t>
      </w:r>
      <w:r>
        <w:t xml:space="preserve">(6), 1199–1216. </w:t>
      </w:r>
      <w:r>
        <w:fldChar w:fldCharType="begin"/>
      </w:r>
      <w:r>
        <w:instrText xml:space="preserve"> HYPERLINK "https://doi.org/10.1177/014920630002600607" </w:instrText>
      </w:r>
      <w:r>
        <w:fldChar w:fldCharType="separate"/>
      </w:r>
      <w:r>
        <w:rPr>
          <w:rStyle w:val="15"/>
        </w:rPr>
        <w:t>https://doi.org/10.1177/014920630002600607</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Guthrie, J., Cuganesan, S., &amp;amp; Ward, L. (2008). Disclosure Media for Social and environmental matters within the Australian food and Beverage Industry. Social and Environmental Accountability Journal, 28(1), 33–44. </w:t>
      </w:r>
      <w:r>
        <w:fldChar w:fldCharType="begin"/>
      </w:r>
      <w:r>
        <w:instrText xml:space="preserve"> HYPERLINK "https://doi.org/10.1080/0969160x.2008.9651789" </w:instrText>
      </w:r>
      <w:r>
        <w:fldChar w:fldCharType="separate"/>
      </w:r>
      <w:r>
        <w:rPr>
          <w:rStyle w:val="15"/>
          <w:rFonts w:ascii="Times New Roman" w:hAnsi="Times New Roman" w:cs="Times New Roman"/>
          <w:sz w:val="24"/>
          <w:szCs w:val="24"/>
          <w:shd w:val="clear" w:color="auto" w:fill="FFFFFF"/>
        </w:rPr>
        <w:t>https://doi.org/10.1080/0969160x.2008.9651789</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Herzog, A. V., Lipman, T. E., Edwards, J. L., &amp; Kammen, D. M. (2001). Renewable energy: A viable choice. </w:t>
      </w:r>
      <w:r>
        <w:rPr>
          <w:i/>
          <w:iCs/>
        </w:rPr>
        <w:t>Environment: Science and Policy for Sustainable Development</w:t>
      </w:r>
      <w:r>
        <w:t xml:space="preserve">, </w:t>
      </w:r>
      <w:r>
        <w:rPr>
          <w:i/>
          <w:iCs/>
        </w:rPr>
        <w:t>43</w:t>
      </w:r>
      <w:r>
        <w:t xml:space="preserve">(10), 8–20. </w:t>
      </w:r>
      <w:r>
        <w:fldChar w:fldCharType="begin"/>
      </w:r>
      <w:r>
        <w:instrText xml:space="preserve"> HYPERLINK "https://doi.org/10.1080/00139150109605150" </w:instrText>
      </w:r>
      <w:r>
        <w:fldChar w:fldCharType="separate"/>
      </w:r>
      <w:r>
        <w:rPr>
          <w:rStyle w:val="15"/>
        </w:rPr>
        <w:t>https://doi.org/10.1080/00139150109605150</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Inderst, R., &amp;amp; Spiegel, Y. (2022). Sustainability agreements. SSRN Electronic Journal. </w:t>
      </w:r>
      <w:r>
        <w:fldChar w:fldCharType="begin"/>
      </w:r>
      <w:r>
        <w:instrText xml:space="preserve"> HYPERLINK "https://doi.org/10.2139/ssrn.4233319" </w:instrText>
      </w:r>
      <w:r>
        <w:fldChar w:fldCharType="separate"/>
      </w:r>
      <w:r>
        <w:rPr>
          <w:rStyle w:val="15"/>
          <w:rFonts w:ascii="Times New Roman" w:hAnsi="Times New Roman" w:cs="Times New Roman"/>
          <w:sz w:val="24"/>
          <w:szCs w:val="24"/>
          <w:shd w:val="clear" w:color="auto" w:fill="FFFFFF"/>
        </w:rPr>
        <w:t>https://doi.org/10.2139/ssrn.4233319</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Indriastuti, M., &amp;amp; Chariri, A. (2021). The role of Green Investment and Corporate Social Responsibility Investment on sustainable performance. Cogent Business &amp;amp;amp; Management, 8(1). </w:t>
      </w:r>
      <w:r>
        <w:fldChar w:fldCharType="begin"/>
      </w:r>
      <w:r>
        <w:instrText xml:space="preserve"> HYPERLINK "https://doi.org/10.1080/23311975.2021.1960120" </w:instrText>
      </w:r>
      <w:r>
        <w:fldChar w:fldCharType="separate"/>
      </w:r>
      <w:r>
        <w:rPr>
          <w:rStyle w:val="15"/>
          <w:rFonts w:ascii="Times New Roman" w:hAnsi="Times New Roman" w:cs="Times New Roman"/>
          <w:sz w:val="24"/>
          <w:szCs w:val="24"/>
          <w:shd w:val="clear" w:color="auto" w:fill="FFFFFF"/>
        </w:rPr>
        <w:t>https://doi.org/10.1080/23311975.2021.1960120</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Jayasuriya, B. T. (2021). Influence of Green Supply Chain Management (GSCM) Practices on GSCM Performance of the Manufacturing Sector in Sri Lanka. </w:t>
      </w:r>
      <w:r>
        <w:fldChar w:fldCharType="begin"/>
      </w:r>
      <w:r>
        <w:instrText xml:space="preserve"> HYPERLINK "https://doi.org/10.31357/fmscmst.2016.00307" </w:instrText>
      </w:r>
      <w:r>
        <w:fldChar w:fldCharType="separate"/>
      </w:r>
      <w:r>
        <w:rPr>
          <w:rStyle w:val="15"/>
        </w:rPr>
        <w:t>https://doi.org/10.31357/fmscmst.2016.00307</w:t>
      </w:r>
      <w:r>
        <w:rPr>
          <w:rStyle w:val="15"/>
        </w:rPr>
        <w:fldChar w:fldCharType="end"/>
      </w:r>
      <w:r>
        <w:t xml:space="preserve"> </w:t>
      </w:r>
    </w:p>
    <w:p>
      <w:pPr>
        <w:pStyle w:val="16"/>
        <w:spacing w:line="360" w:lineRule="auto"/>
        <w:ind w:left="720" w:hanging="747"/>
        <w:jc w:val="both"/>
      </w:pPr>
      <w:r>
        <w:t xml:space="preserve">Jackson, L. A., &amp; Singh, D. (2015). Environmental rankings and financial performance: An analysis of firms in the US Food and Beverage Supply Chain. </w:t>
      </w:r>
      <w:r>
        <w:rPr>
          <w:i/>
          <w:iCs/>
        </w:rPr>
        <w:t>Tourism Management Perspectives</w:t>
      </w:r>
      <w:r>
        <w:t xml:space="preserve">, </w:t>
      </w:r>
      <w:r>
        <w:rPr>
          <w:i/>
          <w:iCs/>
        </w:rPr>
        <w:t>14</w:t>
      </w:r>
      <w:r>
        <w:t xml:space="preserve">, 25–33. </w:t>
      </w:r>
      <w:r>
        <w:fldChar w:fldCharType="begin"/>
      </w:r>
      <w:r>
        <w:instrText xml:space="preserve"> HYPERLINK "https://doi.org/10.1016/j.tmp.2015.02.002" </w:instrText>
      </w:r>
      <w:r>
        <w:fldChar w:fldCharType="separate"/>
      </w:r>
      <w:r>
        <w:rPr>
          <w:rStyle w:val="15"/>
        </w:rPr>
        <w:t>https://doi.org/10.1016/j.tmp.2015.02.002</w:t>
      </w:r>
      <w:r>
        <w:rPr>
          <w:rStyle w:val="15"/>
        </w:rPr>
        <w:fldChar w:fldCharType="end"/>
      </w:r>
      <w:r>
        <w:t xml:space="preserve">  </w:t>
      </w:r>
    </w:p>
    <w:p>
      <w:pPr>
        <w:pStyle w:val="16"/>
        <w:spacing w:line="360" w:lineRule="auto"/>
        <w:ind w:left="720" w:hanging="747"/>
        <w:jc w:val="both"/>
      </w:pPr>
      <w:r>
        <w:t xml:space="preserve">Marquis, C., Jackson, S. E., &amp;amp; Li, Y. (2015). Building sustainable organizations in China. Management and Organization Review, 11(3), 427–440. </w:t>
      </w:r>
      <w:r>
        <w:fldChar w:fldCharType="begin"/>
      </w:r>
      <w:r>
        <w:instrText xml:space="preserve"> HYPERLINK "https://doi.org/10.1017/mor.2015.37" </w:instrText>
      </w:r>
      <w:r>
        <w:fldChar w:fldCharType="separate"/>
      </w:r>
      <w:r>
        <w:rPr>
          <w:rStyle w:val="15"/>
        </w:rPr>
        <w:t>https://doi.org/10.1017/mor.2015.37</w:t>
      </w:r>
      <w:r>
        <w:rPr>
          <w:rStyle w:val="15"/>
        </w:rPr>
        <w:fldChar w:fldCharType="end"/>
      </w:r>
      <w:r>
        <w:t xml:space="preserve"> </w:t>
      </w:r>
    </w:p>
    <w:p>
      <w:pPr>
        <w:pStyle w:val="16"/>
        <w:spacing w:line="360" w:lineRule="auto"/>
        <w:ind w:left="720" w:hanging="747"/>
        <w:jc w:val="both"/>
      </w:pPr>
      <w:r>
        <w:t xml:space="preserve">Mexis, F. D., Papapostolou, A., Karakosta, C., Sarmas, E., Koutsandreas, D., &amp; Doukas, H. (2021). Leveraging Energy Efficiency Investments: An innovative web-based benchmarking tool. </w:t>
      </w:r>
      <w:r>
        <w:rPr>
          <w:i/>
          <w:iCs/>
        </w:rPr>
        <w:t>Advances in Science, Technology and Engineering Systems Journal</w:t>
      </w:r>
      <w:r>
        <w:t xml:space="preserve">, </w:t>
      </w:r>
      <w:r>
        <w:rPr>
          <w:i/>
          <w:iCs/>
        </w:rPr>
        <w:t>6</w:t>
      </w:r>
      <w:r>
        <w:t xml:space="preserve">(5), 237–248. </w:t>
      </w:r>
      <w:r>
        <w:fldChar w:fldCharType="begin"/>
      </w:r>
      <w:r>
        <w:instrText xml:space="preserve"> HYPERLINK "https://doi.org/10.25046/aj060526" </w:instrText>
      </w:r>
      <w:r>
        <w:fldChar w:fldCharType="separate"/>
      </w:r>
      <w:r>
        <w:rPr>
          <w:rStyle w:val="15"/>
        </w:rPr>
        <w:t>https://doi.org/10.25046/aj060526</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Ortas, E., Burritt, R. L., &amp;amp; Moneva, J. M. (2013). Socially responsible investment and cleaner production in the Asia Pacific: Does it pay to be good? Journal of Cleaner Production, 52, 272–280. </w:t>
      </w:r>
      <w:r>
        <w:fldChar w:fldCharType="begin"/>
      </w:r>
      <w:r>
        <w:instrText xml:space="preserve"> HYPERLINK "https://doi.org/10.1016/j.jclepro.2013.02.024" </w:instrText>
      </w:r>
      <w:r>
        <w:fldChar w:fldCharType="separate"/>
      </w:r>
      <w:r>
        <w:rPr>
          <w:rStyle w:val="15"/>
          <w:rFonts w:ascii="Times New Roman" w:hAnsi="Times New Roman" w:cs="Times New Roman"/>
          <w:sz w:val="24"/>
          <w:szCs w:val="24"/>
          <w:shd w:val="clear" w:color="auto" w:fill="FFFFFF"/>
        </w:rPr>
        <w:t>https://doi.org/10.1016/j.jclepro.2013.02.024</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Panwar, N. L., Kaushik, S. C., &amp; Kothari, S. (2011). Role of renewable energy sources in Environmental Protection: A Review. </w:t>
      </w:r>
      <w:r>
        <w:rPr>
          <w:i/>
          <w:iCs/>
        </w:rPr>
        <w:t>Renewable and Sustainable Energy Reviews</w:t>
      </w:r>
      <w:r>
        <w:t xml:space="preserve">, </w:t>
      </w:r>
      <w:r>
        <w:rPr>
          <w:i/>
          <w:iCs/>
        </w:rPr>
        <w:t>15</w:t>
      </w:r>
      <w:r>
        <w:t xml:space="preserve">(3), 1513–1524. </w:t>
      </w:r>
      <w:r>
        <w:fldChar w:fldCharType="begin"/>
      </w:r>
      <w:r>
        <w:instrText xml:space="preserve"> HYPERLINK "https://doi.org/10.1016/j.rser.2010.11.037" </w:instrText>
      </w:r>
      <w:r>
        <w:fldChar w:fldCharType="separate"/>
      </w:r>
      <w:r>
        <w:rPr>
          <w:rStyle w:val="15"/>
        </w:rPr>
        <w:t>https://doi.org/10.1016/j.rser.2010.11.037</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Papageorgiou, K., Singh, P. K., Papageorgiou, E., Chudasama, H., Bochtis, D., &amp;amp; Stamoulis, G. (2019). Fuzzy cognitive map-based sustainable socio-economic development planning for rural communities. Sustainability, 12(1), 305. </w:t>
      </w:r>
      <w:r>
        <w:fldChar w:fldCharType="begin"/>
      </w:r>
      <w:r>
        <w:instrText xml:space="preserve"> HYPERLINK "https://doi.org/10.3390/su12010305" </w:instrText>
      </w:r>
      <w:r>
        <w:fldChar w:fldCharType="separate"/>
      </w:r>
      <w:r>
        <w:rPr>
          <w:rStyle w:val="15"/>
          <w:rFonts w:ascii="Times New Roman" w:hAnsi="Times New Roman" w:cs="Times New Roman"/>
          <w:sz w:val="24"/>
          <w:szCs w:val="24"/>
          <w:shd w:val="clear" w:color="auto" w:fill="FFFFFF"/>
        </w:rPr>
        <w:t>https://doi.org/10.3390/su12010305</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Pushpakumara, W. H., Atan, H., Khatib, A., Azam, S. F., &amp; Tham, J. (2019). Developing a Framework for Scrutinizing Strategic Green Orientation and Organizational Performance with Relevance to the Sustainability of Tourism Industry. European Journal of Social Sciences Studies.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Schiopoiu Burlea, A., &amp;amp; Popa, I. (2013). Legitimacy theory. Encyclopedia of Corporate Social Responsibility, 1579–1584. </w:t>
      </w:r>
      <w:r>
        <w:fldChar w:fldCharType="begin"/>
      </w:r>
      <w:r>
        <w:instrText xml:space="preserve"> HYPERLINK "https://doi.org/10.1007/978-3-642-28036-8_471" </w:instrText>
      </w:r>
      <w:r>
        <w:fldChar w:fldCharType="separate"/>
      </w:r>
      <w:r>
        <w:rPr>
          <w:rStyle w:val="15"/>
          <w:rFonts w:ascii="Times New Roman" w:hAnsi="Times New Roman" w:cs="Times New Roman"/>
          <w:sz w:val="24"/>
          <w:szCs w:val="24"/>
          <w:shd w:val="clear" w:color="auto" w:fill="FFFFFF"/>
        </w:rPr>
        <w:t>https://doi.org/10.1007/978-3-642-28036-8_471</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 xml:space="preserve">Semenova, N., &amp; Hassel, L. G. (2016). The moderating effects of environmental risk of the industry on the relationship between corporate environmental and financial performance. </w:t>
      </w:r>
      <w:r>
        <w:rPr>
          <w:i/>
          <w:iCs/>
        </w:rPr>
        <w:t>Journal of Applied Accounting Research</w:t>
      </w:r>
      <w:r>
        <w:t xml:space="preserve">, </w:t>
      </w:r>
      <w:r>
        <w:rPr>
          <w:i/>
          <w:iCs/>
        </w:rPr>
        <w:t>17</w:t>
      </w:r>
      <w:r>
        <w:t xml:space="preserve">(1), 97–114. </w:t>
      </w:r>
      <w:r>
        <w:fldChar w:fldCharType="begin"/>
      </w:r>
      <w:r>
        <w:instrText xml:space="preserve"> HYPERLINK "https://doi.org/10.1108/jaar-09-2013-0071" </w:instrText>
      </w:r>
      <w:r>
        <w:fldChar w:fldCharType="separate"/>
      </w:r>
      <w:r>
        <w:rPr>
          <w:rStyle w:val="15"/>
        </w:rPr>
        <w:t>https://doi.org/10.1108/jaar-09-2013-0071</w:t>
      </w:r>
      <w:r>
        <w:rPr>
          <w:rStyle w:val="15"/>
        </w:rPr>
        <w:fldChar w:fldCharType="end"/>
      </w:r>
      <w:r>
        <w:t xml:space="preserve">  </w:t>
      </w:r>
    </w:p>
    <w:p>
      <w:pPr>
        <w:spacing w:line="360" w:lineRule="auto"/>
        <w:ind w:left="720" w:hanging="747"/>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 xml:space="preserve">Tseng, M.-L., Tan, P., Jeng, S.-Y., Lin, C.-W., Negash, Y., &amp;amp; Darsono, S. (2019). Sustainable investment: Interrelated among corporate governance, economic performance and market risks using investor preference approach. Sustainability, 11(7), 2108. </w:t>
      </w:r>
      <w:r>
        <w:fldChar w:fldCharType="begin"/>
      </w:r>
      <w:r>
        <w:instrText xml:space="preserve"> HYPERLINK "https://doi.org/10.3390/su11072108" </w:instrText>
      </w:r>
      <w:r>
        <w:fldChar w:fldCharType="separate"/>
      </w:r>
      <w:r>
        <w:rPr>
          <w:rStyle w:val="15"/>
          <w:rFonts w:ascii="Times New Roman" w:hAnsi="Times New Roman" w:cs="Times New Roman"/>
          <w:sz w:val="24"/>
          <w:szCs w:val="24"/>
          <w:shd w:val="clear" w:color="auto" w:fill="FFFFFF"/>
        </w:rPr>
        <w:t>https://doi.org/10.3390/su11072108</w:t>
      </w:r>
      <w:r>
        <w:rPr>
          <w:rStyle w:val="15"/>
          <w:rFonts w:ascii="Times New Roman" w:hAnsi="Times New Roman" w:cs="Times New Roman"/>
          <w:sz w:val="24"/>
          <w:szCs w:val="24"/>
          <w:shd w:val="clear" w:color="auto" w:fill="FFFFFF"/>
        </w:rPr>
        <w:fldChar w:fldCharType="end"/>
      </w:r>
      <w:r>
        <w:rPr>
          <w:rFonts w:ascii="Times New Roman" w:hAnsi="Times New Roman" w:cs="Times New Roman"/>
          <w:color w:val="222222"/>
          <w:sz w:val="24"/>
          <w:szCs w:val="24"/>
          <w:shd w:val="clear" w:color="auto" w:fill="FFFFFF"/>
        </w:rPr>
        <w:t xml:space="preserve"> </w:t>
      </w:r>
    </w:p>
    <w:p>
      <w:pPr>
        <w:pStyle w:val="16"/>
        <w:spacing w:line="360" w:lineRule="auto"/>
        <w:ind w:left="720" w:hanging="747"/>
        <w:jc w:val="both"/>
      </w:pPr>
      <w:r>
        <w:t>Turkenburg, W. C., &amp; Faaij, A. (2000). Renewable energy technologies (pp. 219-72). UNDP/UNDESA/WEC: Energy and the Challenge of Sustainability. World Energy Assessment. New York: UNDP, 219-272.</w:t>
      </w:r>
    </w:p>
    <w:p>
      <w:pPr>
        <w:pStyle w:val="16"/>
        <w:spacing w:line="360" w:lineRule="auto"/>
        <w:ind w:left="720" w:hanging="747"/>
        <w:jc w:val="both"/>
      </w:pPr>
      <w:r>
        <w:t xml:space="preserve">Worrell, E., Martin, N., Price, L., Ruth, M., Elliott, N., Shipley, A., &amp; Thorn, J. (2002). Emerging energy-efficient technologies for industry. </w:t>
      </w:r>
      <w:r>
        <w:rPr>
          <w:i/>
          <w:iCs/>
        </w:rPr>
        <w:t>Energy Engineering</w:t>
      </w:r>
      <w:r>
        <w:t xml:space="preserve">, </w:t>
      </w:r>
      <w:r>
        <w:rPr>
          <w:i/>
          <w:iCs/>
        </w:rPr>
        <w:t>99</w:t>
      </w:r>
      <w:r>
        <w:t xml:space="preserve">(2), 36–55. </w:t>
      </w:r>
      <w:r>
        <w:fldChar w:fldCharType="begin"/>
      </w:r>
      <w:r>
        <w:instrText xml:space="preserve"> HYPERLINK "https://doi.org/10.1080/01998590209509345" </w:instrText>
      </w:r>
      <w:r>
        <w:fldChar w:fldCharType="separate"/>
      </w:r>
      <w:r>
        <w:rPr>
          <w:rStyle w:val="15"/>
        </w:rPr>
        <w:t>https://doi.org/10.1080/01998590209509345</w:t>
      </w:r>
      <w:r>
        <w:rPr>
          <w:rStyle w:val="15"/>
        </w:rPr>
        <w:fldChar w:fldCharType="end"/>
      </w:r>
      <w:r>
        <w:t xml:space="preserve">  </w:t>
      </w:r>
    </w:p>
    <w:p>
      <w:pPr>
        <w:pStyle w:val="16"/>
        <w:spacing w:line="360" w:lineRule="auto"/>
        <w:ind w:left="720" w:hanging="747"/>
        <w:jc w:val="both"/>
      </w:pPr>
      <w:r>
        <w:t xml:space="preserve">Worrell, E., van Berkel, R., Fengqi, Z., Menke, C., Schaeffer, R., &amp; O. Williams, R. (2001). Technology transfer of Energy Efficient Technologies in industry: A review of trends and policy issues. </w:t>
      </w:r>
      <w:r>
        <w:rPr>
          <w:i/>
          <w:iCs/>
        </w:rPr>
        <w:t>Energy Policy</w:t>
      </w:r>
      <w:r>
        <w:t xml:space="preserve">, </w:t>
      </w:r>
      <w:r>
        <w:rPr>
          <w:i/>
          <w:iCs/>
        </w:rPr>
        <w:t>29</w:t>
      </w:r>
      <w:r>
        <w:t xml:space="preserve">(1), 29–43. </w:t>
      </w:r>
      <w:r>
        <w:fldChar w:fldCharType="begin"/>
      </w:r>
      <w:r>
        <w:instrText xml:space="preserve"> HYPERLINK "https://doi.org/10.1016/s0301-4215(00)00097-5" </w:instrText>
      </w:r>
      <w:r>
        <w:fldChar w:fldCharType="separate"/>
      </w:r>
      <w:r>
        <w:rPr>
          <w:rStyle w:val="15"/>
        </w:rPr>
        <w:t>https://doi.org/10.1016/s0301-4215(00)00097-5</w:t>
      </w:r>
      <w:r>
        <w:rPr>
          <w:rStyle w:val="15"/>
        </w:rPr>
        <w:fldChar w:fldCharType="end"/>
      </w:r>
      <w:r>
        <w:t xml:space="preserve">  </w:t>
      </w:r>
    </w:p>
    <w:p>
      <w:pPr>
        <w:pStyle w:val="16"/>
        <w:spacing w:line="360" w:lineRule="auto"/>
        <w:ind w:left="720" w:hanging="747"/>
        <w:jc w:val="both"/>
      </w:pPr>
      <w:r>
        <w:t xml:space="preserve">Yadav, P. L., Han, S. H., &amp; Rho, J. J. (2015). Impact of environmental performance on firm value for Sustainable Investment: Evidence from large US firms. </w:t>
      </w:r>
      <w:r>
        <w:rPr>
          <w:i/>
          <w:iCs/>
        </w:rPr>
        <w:t>Business Strategy and the Environment</w:t>
      </w:r>
      <w:r>
        <w:t xml:space="preserve">, </w:t>
      </w:r>
      <w:r>
        <w:rPr>
          <w:i/>
          <w:iCs/>
        </w:rPr>
        <w:t>25</w:t>
      </w:r>
      <w:r>
        <w:t xml:space="preserve">(6), 402–420. </w:t>
      </w:r>
      <w:r>
        <w:fldChar w:fldCharType="begin"/>
      </w:r>
      <w:r>
        <w:instrText xml:space="preserve"> HYPERLINK "https://doi.org/10.1002/bse.1883" </w:instrText>
      </w:r>
      <w:r>
        <w:fldChar w:fldCharType="separate"/>
      </w:r>
      <w:r>
        <w:rPr>
          <w:rStyle w:val="15"/>
        </w:rPr>
        <w:t>https://doi.org/10.1002/bse.1883</w:t>
      </w:r>
      <w:r>
        <w:rPr>
          <w:rStyle w:val="15"/>
        </w:rPr>
        <w:fldChar w:fldCharType="end"/>
      </w:r>
      <w:r>
        <w:t xml:space="preserve">  </w:t>
      </w:r>
    </w:p>
    <w:sectPr>
      <w:footerReference r:id="rId7" w:type="default"/>
      <w:pgSz w:w="10318" w:h="14570"/>
      <w:pgMar w:top="1152" w:right="1152" w:bottom="1152" w:left="1152" w:header="720" w:footer="720" w:gutter="0"/>
      <w:cols w:space="720" w:num="1"/>
      <w:docGrid w:linePitch="360"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MY PC" w:date="2023-08-24T16:54:00Z" w:initials="MP">
    <w:p w14:paraId="58764F68">
      <w:pPr>
        <w:pStyle w:val="9"/>
      </w:pPr>
      <w:r>
        <w:t xml:space="preserve">Suggestion: </w:t>
      </w:r>
      <w:r>
        <w:rPr>
          <w:rFonts w:ascii="Times New Roman" w:hAnsi="Times New Roman" w:cs="Times New Roman"/>
          <w:b/>
          <w:bCs/>
          <w:sz w:val="24"/>
          <w:szCs w:val="24"/>
        </w:rPr>
        <w:t>Impact of Green Investment on Firm Performance: Evidence from Listed Manufacturing Firms in Sri Lanka</w:t>
      </w:r>
    </w:p>
  </w:comment>
  <w:comment w:id="1" w:author="MY PC" w:date="2023-08-24T17:14:00Z" w:initials="MP">
    <w:p w14:paraId="131666FA">
      <w:pPr>
        <w:pStyle w:val="9"/>
      </w:pPr>
      <w:r>
        <w:t>Has been taken</w:t>
      </w:r>
    </w:p>
  </w:comment>
  <w:comment w:id="2" w:author="MY PC" w:date="2023-08-24T17:16:00Z" w:initials="MP">
    <w:p w14:paraId="6F1149BB">
      <w:pPr>
        <w:pStyle w:val="9"/>
      </w:pPr>
      <w:r>
        <w:t xml:space="preserve">STATA is not a method. The Method you have used is the panel regression model. </w:t>
      </w:r>
    </w:p>
  </w:comment>
  <w:comment w:id="3" w:author="MY PC" w:date="2023-08-24T17:20:00Z" w:initials="MP">
    <w:p w14:paraId="4EAE74AD">
      <w:pPr>
        <w:pStyle w:val="9"/>
      </w:pPr>
      <w:r>
        <w:t xml:space="preserve">Apart from the Table of Descriptive Stat, an additional descriptive analysis is not observed in the paper. Therefore, It can be suggested to remove this sentence from the abstract.  </w:t>
      </w:r>
    </w:p>
  </w:comment>
  <w:comment w:id="4" w:author="MY PC" w:date="2023-08-24T17:23:00Z" w:initials="MP">
    <w:p w14:paraId="05885D24">
      <w:pPr>
        <w:pStyle w:val="9"/>
      </w:pPr>
      <w:r>
        <w:t xml:space="preserve">Better if you could present the statistically significant results first followed by insignificant variables.   </w:t>
      </w:r>
    </w:p>
  </w:comment>
  <w:comment w:id="5" w:author="MY PC" w:date="2023-08-24T17:25:00Z" w:initials="MP">
    <w:p w14:paraId="7CFE5579">
      <w:pPr>
        <w:pStyle w:val="9"/>
      </w:pPr>
      <w:r>
        <w:t>Better if you can be specific. For example,</w:t>
      </w:r>
    </w:p>
    <w:p w14:paraId="48DB2852">
      <w:pPr>
        <w:pStyle w:val="9"/>
      </w:pPr>
    </w:p>
    <w:p w14:paraId="16432725">
      <w:pPr>
        <w:pStyle w:val="9"/>
      </w:pPr>
      <w:r>
        <w:t xml:space="preserve">Therefore, the results of this study imply the practitioners that more investment in </w:t>
      </w:r>
      <w:r>
        <w:rPr>
          <w:rFonts w:ascii="Times New Roman" w:hAnsi="Times New Roman" w:cs="Times New Roman"/>
        </w:rPr>
        <w:t>renewable technology</w:t>
      </w:r>
      <w:r>
        <w:t xml:space="preserve"> and </w:t>
      </w:r>
      <w:r>
        <w:rPr>
          <w:rFonts w:ascii="Times New Roman" w:hAnsi="Times New Roman" w:cs="Times New Roman"/>
        </w:rPr>
        <w:t xml:space="preserve">energy-efficient technologies enhances the performance of the firm. </w:t>
      </w:r>
      <w:r>
        <w:t xml:space="preserve">   </w:t>
      </w:r>
    </w:p>
  </w:comment>
  <w:comment w:id="6" w:author="MY PC" w:date="2023-08-24T17:36:00Z" w:initials="MP">
    <w:p w14:paraId="6F3C0DE5">
      <w:pPr>
        <w:pStyle w:val="9"/>
        <w:rPr>
          <w:rFonts w:ascii="Times New Roman" w:hAnsi="Times New Roman" w:cs="Times New Roman"/>
        </w:rPr>
      </w:pPr>
      <w:r>
        <w:t xml:space="preserve">Add </w:t>
      </w:r>
      <w:r>
        <w:rPr>
          <w:rFonts w:ascii="Times New Roman" w:hAnsi="Times New Roman" w:cs="Times New Roman"/>
        </w:rPr>
        <w:t>recyclable</w:t>
      </w:r>
      <w:r>
        <w:rPr>
          <w:rFonts w:ascii="Times New Roman" w:hAnsi="Times New Roman" w:cs="Times New Roman"/>
          <w:spacing w:val="-58"/>
        </w:rPr>
        <w:t xml:space="preserve"> </w:t>
      </w:r>
      <w:r>
        <w:rPr>
          <w:rFonts w:ascii="Times New Roman" w:hAnsi="Times New Roman" w:cs="Times New Roman"/>
        </w:rPr>
        <w:t>&amp;</w:t>
      </w:r>
      <w:r>
        <w:rPr>
          <w:rFonts w:ascii="Times New Roman" w:hAnsi="Times New Roman" w:cs="Times New Roman"/>
          <w:spacing w:val="-2"/>
        </w:rPr>
        <w:t xml:space="preserve"> </w:t>
      </w:r>
      <w:r>
        <w:rPr>
          <w:rFonts w:ascii="Times New Roman" w:hAnsi="Times New Roman" w:cs="Times New Roman"/>
        </w:rPr>
        <w:t>sustainable</w:t>
      </w:r>
      <w:r>
        <w:rPr>
          <w:rFonts w:ascii="Times New Roman" w:hAnsi="Times New Roman" w:cs="Times New Roman"/>
          <w:spacing w:val="-2"/>
        </w:rPr>
        <w:t xml:space="preserve"> </w:t>
      </w:r>
      <w:r>
        <w:rPr>
          <w:rFonts w:ascii="Times New Roman" w:hAnsi="Times New Roman" w:cs="Times New Roman"/>
        </w:rPr>
        <w:t>materials as a keyword</w:t>
      </w:r>
    </w:p>
    <w:p w14:paraId="5F456CF4">
      <w:pPr>
        <w:pStyle w:val="9"/>
      </w:pPr>
      <w:r>
        <w:rPr>
          <w:rFonts w:ascii="Times New Roman" w:hAnsi="Times New Roman" w:cs="Times New Roman"/>
        </w:rPr>
        <w:t>And Add JEL codes.</w:t>
      </w:r>
    </w:p>
  </w:comment>
  <w:comment w:id="7" w:author="MY PC" w:date="2023-08-24T18:24:00Z" w:initials="MP">
    <w:p w14:paraId="29D813D3">
      <w:pPr>
        <w:pStyle w:val="9"/>
      </w:pPr>
      <w:r>
        <w:t xml:space="preserve">Introduction provides solid motivation for the study. Further, it highlights the importance of studying this timely topic and its relevance to the manufacturing firms. To further improve the Introduction, the authors could highlight the key research problem. For example, is it still unclear or yet to discover the impact of Green Inv. On the firm performance? What further needed to be clarified on the relationship between green Inv. And firm performance? </w:t>
      </w:r>
    </w:p>
    <w:p w14:paraId="09CE0A28">
      <w:pPr>
        <w:pStyle w:val="9"/>
      </w:pPr>
    </w:p>
    <w:p w14:paraId="68F5520B">
      <w:pPr>
        <w:pStyle w:val="9"/>
      </w:pPr>
      <w:r>
        <w:t xml:space="preserve">Additionally, at the end of the Introduction section, the authors could provide how the reminder of this paper has been organized. For example, section 2 – Lit, Section 3 – metho etc…    </w:t>
      </w:r>
    </w:p>
  </w:comment>
  <w:comment w:id="8" w:author="MY PC" w:date="2023-08-24T18:52:00Z" w:initials="MP">
    <w:p w14:paraId="396045C5">
      <w:pPr>
        <w:pStyle w:val="9"/>
      </w:pPr>
      <w:r>
        <w:t xml:space="preserve">Literature Review is good. It is better if the authors can add more recent papers on the current debate. </w:t>
      </w:r>
    </w:p>
    <w:p w14:paraId="263D3459">
      <w:pPr>
        <w:pStyle w:val="9"/>
      </w:pPr>
      <w:r>
        <w:t>Further, the sentence below that was captured in the Lit Review, fits better in the Introduction section to highlight the research problem.</w:t>
      </w:r>
    </w:p>
    <w:p w14:paraId="40273B97">
      <w:pPr>
        <w:pStyle w:val="9"/>
      </w:pPr>
    </w:p>
    <w:p w14:paraId="2959138A">
      <w:pPr>
        <w:pStyle w:val="9"/>
      </w:pPr>
      <w:r>
        <w:t>“</w:t>
      </w:r>
      <w:r>
        <w:rPr>
          <w:rFonts w:ascii="Times New Roman" w:hAnsi="Times New Roman" w:cs="Times New Roman"/>
          <w:sz w:val="24"/>
          <w:szCs w:val="24"/>
        </w:rPr>
        <w:t>Green investments have developed as a compelling issue in the areas of business and accounting, owing to the change from single-profit (Profit) company models to Triple P (Profit, People, and Planet).</w:t>
      </w:r>
      <w:r>
        <w:t>”</w:t>
      </w:r>
    </w:p>
  </w:comment>
  <w:comment w:id="9" w:author="MY PC" w:date="2023-08-26T10:43:00Z" w:initials="MP">
    <w:p w14:paraId="282D5E76">
      <w:pPr>
        <w:pStyle w:val="9"/>
      </w:pPr>
      <w:r>
        <w:t>Title Needs to be “Methodology”</w:t>
      </w:r>
    </w:p>
    <w:p w14:paraId="7AC269D0">
      <w:pPr>
        <w:pStyle w:val="9"/>
      </w:pPr>
    </w:p>
    <w:p w14:paraId="5CCD6FC9">
      <w:pPr>
        <w:pStyle w:val="9"/>
      </w:pPr>
      <w:r>
        <w:t>The Methodology is not clear and it is confusing. Must be improved significantly as it falls short in many aspects.</w:t>
      </w:r>
    </w:p>
    <w:p w14:paraId="78D42668">
      <w:pPr>
        <w:pStyle w:val="9"/>
      </w:pPr>
    </w:p>
    <w:p w14:paraId="086A1049">
      <w:pPr>
        <w:pStyle w:val="9"/>
      </w:pPr>
      <w:r>
        <w:t>It is not clear whether the authors need to take firm value (Tobin’s Q) or firm performance (ROE and ROA) in to the model.</w:t>
      </w:r>
    </w:p>
    <w:p w14:paraId="43256479">
      <w:pPr>
        <w:pStyle w:val="9"/>
      </w:pPr>
    </w:p>
    <w:p w14:paraId="7A614E08">
      <w:pPr>
        <w:pStyle w:val="9"/>
      </w:pPr>
      <w:r>
        <w:t>It is confusing whether the authors use primary data or secondary data</w:t>
      </w:r>
    </w:p>
    <w:p w14:paraId="70140940">
      <w:pPr>
        <w:pStyle w:val="9"/>
      </w:pPr>
    </w:p>
    <w:p w14:paraId="293B53B1">
      <w:pPr>
        <w:pStyle w:val="9"/>
      </w:pPr>
      <w:r>
        <w:t>It is not clear whether the study uses multiple regression or panel regression.</w:t>
      </w:r>
    </w:p>
    <w:p w14:paraId="40A50D6A">
      <w:pPr>
        <w:pStyle w:val="9"/>
      </w:pPr>
    </w:p>
    <w:p w14:paraId="25281D11">
      <w:pPr>
        <w:pStyle w:val="9"/>
      </w:pPr>
      <w:r>
        <w:t>The above aspects need to be address by adding the sections below.</w:t>
      </w:r>
    </w:p>
    <w:p w14:paraId="468C75C1">
      <w:pPr>
        <w:pStyle w:val="9"/>
      </w:pPr>
    </w:p>
    <w:p w14:paraId="0EA954D6">
      <w:pPr>
        <w:pStyle w:val="9"/>
      </w:pPr>
      <w:r>
        <w:rPr>
          <w:b/>
        </w:rPr>
        <w:t>Data and Sample</w:t>
      </w:r>
      <w:r>
        <w:t xml:space="preserve"> (Explain data collection, sample and population)</w:t>
      </w:r>
    </w:p>
    <w:p w14:paraId="30873F0B">
      <w:pPr>
        <w:pStyle w:val="9"/>
      </w:pPr>
      <w:r>
        <w:rPr>
          <w:b/>
        </w:rPr>
        <w:t>Methods</w:t>
      </w:r>
      <w:r>
        <w:t xml:space="preserve"> (Show the regression equation and explain the other tests use in the study)</w:t>
      </w:r>
    </w:p>
    <w:p w14:paraId="658C3F97">
      <w:pPr>
        <w:pStyle w:val="9"/>
      </w:pPr>
      <w:r>
        <w:rPr>
          <w:b/>
        </w:rPr>
        <w:t>Operationalization and Variable definition</w:t>
      </w:r>
      <w:r>
        <w:t xml:space="preserve"> (Show in a Table and Explain the measurement, meaning and citation of from where the variable is taken </w:t>
      </w:r>
      <w:r>
        <w:rPr/>
        <w:sym w:font="Wingdings" w:char="F0E0"/>
      </w:r>
      <w:r>
        <w:t xml:space="preserve"> for All dependent and Independent variables) </w:t>
      </w:r>
    </w:p>
    <w:p w14:paraId="30F1412F">
      <w:pPr>
        <w:pStyle w:val="9"/>
        <w:rPr>
          <w:b/>
        </w:rPr>
      </w:pPr>
      <w:r>
        <w:rPr>
          <w:b/>
        </w:rPr>
        <w:t>Hypotheses</w:t>
      </w:r>
    </w:p>
    <w:p w14:paraId="441D5815">
      <w:pPr>
        <w:pStyle w:val="9"/>
      </w:pPr>
    </w:p>
    <w:p w14:paraId="32954D9A">
      <w:pPr>
        <w:pStyle w:val="9"/>
      </w:pPr>
      <w:r>
        <w:t xml:space="preserve"> </w:t>
      </w:r>
    </w:p>
  </w:comment>
  <w:comment w:id="10" w:author="MY PC" w:date="2023-08-26T10:54:00Z" w:initials="MP">
    <w:p w14:paraId="5A9B00C1">
      <w:pPr>
        <w:pStyle w:val="9"/>
      </w:pPr>
      <w:r>
        <w:t>Use capital letters; ROE, ROA, IRT, EET, IRSM</w:t>
      </w:r>
    </w:p>
  </w:comment>
  <w:comment w:id="11" w:author="MY PC" w:date="2023-08-26T10:54:00Z" w:initials="MP">
    <w:p w14:paraId="4FC00CE1">
      <w:pPr>
        <w:pStyle w:val="9"/>
      </w:pPr>
      <w:r>
        <w:t xml:space="preserve">Capitals </w:t>
      </w:r>
      <w:r>
        <w:rPr/>
        <w:sym w:font="Wingdings" w:char="F0E0"/>
      </w:r>
      <w:r>
        <w:t xml:space="preserve"> IRT</w:t>
      </w:r>
    </w:p>
  </w:comment>
  <w:comment w:id="12" w:author="MY PC" w:date="2023-08-26T10:55:00Z" w:initials="MP">
    <w:p w14:paraId="3EE96E7E">
      <w:pPr>
        <w:pStyle w:val="9"/>
      </w:pPr>
      <w:r>
        <w:t>EET</w:t>
      </w:r>
    </w:p>
  </w:comment>
  <w:comment w:id="13" w:author="MY PC" w:date="2023-08-26T10:55:00Z" w:initials="MP">
    <w:p w14:paraId="3F9A5FA8">
      <w:pPr>
        <w:pStyle w:val="9"/>
      </w:pPr>
      <w:r>
        <w:t>IRSM</w:t>
      </w:r>
    </w:p>
  </w:comment>
  <w:comment w:id="14" w:author="MY PC" w:date="2023-08-26T10:55:00Z" w:initials="MP">
    <w:p w14:paraId="648630A7">
      <w:pPr>
        <w:pStyle w:val="9"/>
      </w:pPr>
      <w:r>
        <w:t>Capitals</w:t>
      </w:r>
    </w:p>
  </w:comment>
  <w:comment w:id="15" w:author="MY PC" w:date="2023-08-26T10:55:00Z" w:initials="MP">
    <w:p w14:paraId="2DB546C2">
      <w:pPr>
        <w:pStyle w:val="9"/>
      </w:pPr>
      <w:r>
        <w:t>Use capital letters</w:t>
      </w:r>
    </w:p>
  </w:comment>
  <w:comment w:id="16" w:author="MY PC" w:date="2023-08-26T10:55:00Z" w:initials="MP">
    <w:p w14:paraId="50BF7A54">
      <w:pPr>
        <w:pStyle w:val="9"/>
      </w:pPr>
      <w:r>
        <w:t>??</w:t>
      </w:r>
    </w:p>
  </w:comment>
  <w:comment w:id="17" w:author="MY PC" w:date="2023-08-26T10:56:00Z" w:initials="MP">
    <w:p w14:paraId="2FE7169A">
      <w:pPr>
        <w:pStyle w:val="9"/>
      </w:pPr>
      <w:r>
        <w:t>??</w:t>
      </w:r>
    </w:p>
  </w:comment>
  <w:comment w:id="18" w:author="MY PC" w:date="2023-08-26T10:56:00Z" w:initials="MP">
    <w:p w14:paraId="5F2310D9">
      <w:pPr>
        <w:pStyle w:val="9"/>
      </w:pPr>
      <w:r>
        <w:t>??</w:t>
      </w:r>
    </w:p>
  </w:comment>
  <w:comment w:id="19" w:author="MY PC" w:date="2023-08-26T10:56:00Z" w:initials="MP">
    <w:p w14:paraId="4E5579D1">
      <w:pPr>
        <w:pStyle w:val="9"/>
      </w:pPr>
      <w:r>
        <w:t>Show the chi sq stat and P value of the Test</w:t>
      </w:r>
    </w:p>
  </w:comment>
  <w:comment w:id="20" w:author="MY PC" w:date="2023-08-26T10:56:00Z" w:initials="MP">
    <w:p w14:paraId="2A380390">
      <w:pPr>
        <w:pStyle w:val="9"/>
      </w:pPr>
      <w:r>
        <w:t>Use capitals</w:t>
      </w:r>
    </w:p>
  </w:comment>
  <w:comment w:id="21" w:author="MY PC" w:date="2023-08-26T11:26:00Z" w:initials="MP">
    <w:p w14:paraId="51D10728">
      <w:pPr>
        <w:pStyle w:val="9"/>
      </w:pPr>
      <w:r>
        <w:t>After choosing Fixed Effect method, better if the authors could test whether pooled OLS or FE method is better using F test.</w:t>
      </w:r>
    </w:p>
    <w:p w14:paraId="6C6C10D9">
      <w:pPr>
        <w:pStyle w:val="9"/>
      </w:pPr>
    </w:p>
    <w:p w14:paraId="4C666EA1">
      <w:pPr>
        <w:pStyle w:val="9"/>
      </w:pPr>
      <w:r>
        <w:t>The process is as follows.</w:t>
      </w:r>
    </w:p>
    <w:p w14:paraId="6D4E5C5E">
      <w:pPr>
        <w:pStyle w:val="9"/>
      </w:pPr>
    </w:p>
    <w:p w14:paraId="103001E1">
      <w:pPr>
        <w:pStyle w:val="9"/>
      </w:pPr>
      <w:r>
        <w:t xml:space="preserve">To run OLS </w:t>
      </w:r>
    </w:p>
    <w:p w14:paraId="4EFE5A9C">
      <w:pPr>
        <w:pStyle w:val="9"/>
        <w:rPr>
          <w:rFonts w:ascii="Courier New" w:hAnsi="Courier New" w:cs="Courier New"/>
          <w:color w:val="000000"/>
          <w:sz w:val="22"/>
          <w:szCs w:val="22"/>
        </w:rPr>
      </w:pPr>
      <w:r>
        <w:t xml:space="preserve">   </w:t>
      </w:r>
      <w:r>
        <w:rPr>
          <w:rFonts w:ascii="Courier New" w:hAnsi="Courier New" w:cs="Courier New"/>
          <w:color w:val="000000"/>
          <w:sz w:val="22"/>
          <w:szCs w:val="22"/>
        </w:rPr>
        <w:t>reg DependentVar(DV) all Ind.varaibles(IVs)</w:t>
      </w:r>
    </w:p>
    <w:p w14:paraId="08711BD9">
      <w:pPr>
        <w:pStyle w:val="9"/>
        <w:rPr>
          <w:rFonts w:ascii="Courier New" w:hAnsi="Courier New" w:cs="Courier New"/>
          <w:color w:val="000000"/>
          <w:sz w:val="22"/>
          <w:szCs w:val="22"/>
        </w:rPr>
      </w:pPr>
    </w:p>
    <w:p w14:paraId="4FE2159F">
      <w:pPr>
        <w:pStyle w:val="9"/>
        <w:rPr>
          <w:rFonts w:ascii="Courier New" w:hAnsi="Courier New" w:cs="Courier New"/>
          <w:color w:val="000000"/>
          <w:sz w:val="22"/>
          <w:szCs w:val="22"/>
        </w:rPr>
      </w:pPr>
      <w:r>
        <w:rPr>
          <w:rFonts w:ascii="Courier New" w:hAnsi="Courier New" w:cs="Courier New"/>
          <w:color w:val="000000"/>
          <w:sz w:val="22"/>
          <w:szCs w:val="22"/>
        </w:rPr>
        <w:t>To run F test, type</w:t>
      </w:r>
    </w:p>
    <w:p w14:paraId="28E22BA5">
      <w:pPr>
        <w:pStyle w:val="9"/>
        <w:rPr>
          <w:rFonts w:ascii="Courier New" w:hAnsi="Courier New" w:cs="Courier New"/>
          <w:color w:val="000000"/>
          <w:sz w:val="22"/>
          <w:szCs w:val="22"/>
        </w:rPr>
      </w:pPr>
      <w:r>
        <w:rPr>
          <w:rFonts w:ascii="Courier New" w:hAnsi="Courier New" w:cs="Courier New"/>
          <w:color w:val="000000"/>
          <w:sz w:val="22"/>
          <w:szCs w:val="22"/>
        </w:rPr>
        <w:t xml:space="preserve">    xtreg DV all IVs, fe</w:t>
      </w:r>
    </w:p>
    <w:p w14:paraId="549B2F0C">
      <w:pPr>
        <w:pStyle w:val="9"/>
        <w:rPr>
          <w:rFonts w:ascii="Courier New" w:hAnsi="Courier New" w:cs="Courier New"/>
          <w:color w:val="000000"/>
          <w:sz w:val="22"/>
          <w:szCs w:val="22"/>
        </w:rPr>
      </w:pPr>
      <w:r>
        <w:rPr>
          <w:rFonts w:ascii="Courier New" w:hAnsi="Courier New" w:cs="Courier New"/>
          <w:color w:val="000000"/>
          <w:sz w:val="22"/>
          <w:szCs w:val="22"/>
        </w:rPr>
        <w:t xml:space="preserve">    test all IVs</w:t>
      </w:r>
    </w:p>
    <w:p w14:paraId="674766B4">
      <w:pPr>
        <w:pStyle w:val="9"/>
        <w:rPr>
          <w:rFonts w:ascii="Courier New" w:hAnsi="Courier New" w:cs="Courier New"/>
          <w:color w:val="000000"/>
          <w:sz w:val="22"/>
          <w:szCs w:val="22"/>
        </w:rPr>
      </w:pPr>
      <w:r>
        <w:rPr>
          <w:rFonts w:ascii="Courier New" w:hAnsi="Courier New" w:cs="Courier New"/>
          <w:color w:val="000000"/>
          <w:sz w:val="22"/>
          <w:szCs w:val="22"/>
        </w:rPr>
        <w:t>If P val of F-test is significant, FE model better.</w:t>
      </w:r>
    </w:p>
    <w:p w14:paraId="4E384365">
      <w:pPr>
        <w:pStyle w:val="9"/>
        <w:rPr>
          <w:rFonts w:ascii="Courier New" w:hAnsi="Courier New" w:cs="Courier New"/>
          <w:color w:val="000000"/>
          <w:sz w:val="22"/>
          <w:szCs w:val="22"/>
        </w:rPr>
      </w:pPr>
    </w:p>
    <w:p w14:paraId="7346662A">
      <w:pPr>
        <w:pStyle w:val="9"/>
      </w:pPr>
      <w:r>
        <w:t xml:space="preserve"> </w:t>
      </w:r>
    </w:p>
  </w:comment>
  <w:comment w:id="22" w:author="MY PC" w:date="2023-08-26T10:57:00Z" w:initials="MP">
    <w:p w14:paraId="50A91289">
      <w:pPr>
        <w:pStyle w:val="9"/>
      </w:pPr>
      <w:r>
        <w:t xml:space="preserve">?? P-values seems wrong. Pls check them again. Check the confidence intervals and coef. As well.  </w:t>
      </w:r>
    </w:p>
  </w:comment>
  <w:comment w:id="23" w:author="MY PC" w:date="2023-08-26T11:01:00Z" w:initials="MP">
    <w:p w14:paraId="20793382">
      <w:pPr>
        <w:pStyle w:val="9"/>
      </w:pPr>
      <w:r>
        <w:t xml:space="preserve">Check the p-values and revisit the hypotheses </w:t>
      </w:r>
    </w:p>
  </w:comment>
  <w:comment w:id="24" w:author="MY PC" w:date="2023-08-26T11:05:00Z" w:initials="MP">
    <w:p w14:paraId="6D76117A">
      <w:pPr>
        <w:pStyle w:val="9"/>
      </w:pPr>
      <w:r>
        <w:t xml:space="preserve">Better if this section is titled as “Conclusion”. Revisit the conclusion after correcting statistical matters. </w:t>
      </w:r>
    </w:p>
  </w:comment>
  <w:comment w:id="25" w:author="MY PC" w:date="2023-08-26T11:07:00Z" w:initials="MP">
    <w:p w14:paraId="36C20878">
      <w:pPr>
        <w:pStyle w:val="9"/>
      </w:pPr>
      <w:r>
        <w:t>Seems ref. list includes references not in the text body. Pls chk.</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8764F68" w15:done="1"/>
  <w15:commentEx w15:paraId="131666FA" w15:done="1"/>
  <w15:commentEx w15:paraId="6F1149BB" w15:done="1"/>
  <w15:commentEx w15:paraId="4EAE74AD" w15:done="1"/>
  <w15:commentEx w15:paraId="05885D24" w15:done="1"/>
  <w15:commentEx w15:paraId="16432725" w15:done="1"/>
  <w15:commentEx w15:paraId="5F456CF4" w15:done="1"/>
  <w15:commentEx w15:paraId="68F5520B" w15:done="1"/>
  <w15:commentEx w15:paraId="2959138A" w15:done="1"/>
  <w15:commentEx w15:paraId="32954D9A" w15:done="0"/>
  <w15:commentEx w15:paraId="5A9B00C1" w15:done="1"/>
  <w15:commentEx w15:paraId="4FC00CE1" w15:done="1"/>
  <w15:commentEx w15:paraId="3EE96E7E" w15:done="1"/>
  <w15:commentEx w15:paraId="3F9A5FA8" w15:done="1"/>
  <w15:commentEx w15:paraId="648630A7" w15:done="1"/>
  <w15:commentEx w15:paraId="2DB546C2" w15:done="1"/>
  <w15:commentEx w15:paraId="50BF7A54" w15:done="1"/>
  <w15:commentEx w15:paraId="2FE7169A" w15:done="1"/>
  <w15:commentEx w15:paraId="5F2310D9" w15:done="1"/>
  <w15:commentEx w15:paraId="4E5579D1" w15:done="0"/>
  <w15:commentEx w15:paraId="2A380390" w15:done="1"/>
  <w15:commentEx w15:paraId="7346662A" w15:done="0"/>
  <w15:commentEx w15:paraId="50A91289" w15:done="0"/>
  <w15:commentEx w15:paraId="20793382" w15:done="0"/>
  <w15:commentEx w15:paraId="6D76117A" w15:done="1"/>
  <w15:commentEx w15:paraId="36C20878" w15:done="1"/>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Latha">
    <w:altName w:val="Segoe UI Semilight"/>
    <w:panose1 w:val="02000400000000000000"/>
    <w:charset w:val="00"/>
    <w:family w:val="swiss"/>
    <w:pitch w:val="default"/>
    <w:sig w:usb0="00000000" w:usb1="00000000" w:usb2="00000000" w:usb3="00000000" w:csb0="00000001" w:csb1="00000000"/>
  </w:font>
  <w:font w:name="Calibri Light">
    <w:panose1 w:val="020F0302020204030204"/>
    <w:charset w:val="00"/>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 w:name="Segoe UI Semilight">
    <w:panose1 w:val="020B0402040204020203"/>
    <w:charset w:val="00"/>
    <w:family w:val="auto"/>
    <w:pitch w:val="default"/>
    <w:sig w:usb0="E4002EFF" w:usb1="C000E47F" w:usb2="00000009" w:usb3="00000000" w:csb0="200001FF" w:csb1="00000000"/>
  </w:font>
  <w:font w:name="Symbol">
    <w:panose1 w:val="050501020107060205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45608492"/>
      <w:docPartObj>
        <w:docPartGallery w:val="AutoText"/>
      </w:docPartObj>
    </w:sdtPr>
    <w:sdtContent>
      <w:p>
        <w:pPr>
          <w:pStyle w:val="11"/>
          <w:jc w:val="center"/>
        </w:pPr>
        <w:r>
          <w:fldChar w:fldCharType="begin"/>
        </w:r>
        <w:r>
          <w:instrText xml:space="preserve"> PAGE   \* MERGEFORMAT </w:instrText>
        </w:r>
        <w:r>
          <w:fldChar w:fldCharType="separate"/>
        </w:r>
        <w:r>
          <w:t>7</w:t>
        </w:r>
        <w:r>
          <w:fldChar w:fldCharType="end"/>
        </w:r>
      </w:p>
    </w:sdtContent>
  </w:sdt>
  <w:p>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MY PC">
    <w15:presenceInfo w15:providerId="None" w15:userId="MY P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bordersDoNotSurroundHeader w:val="0"/>
  <w:bordersDoNotSurroundFooter w:val="0"/>
  <w:hideSpellingErrors/>
  <w:hideGrammaticalErrors/>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rUwNTIwNzQ2NDGysDRQ0lEKTi0uzszPAykwrQUA7+a18ywAAAA="/>
  </w:docVars>
  <w:rsids>
    <w:rsidRoot w:val="005E5332"/>
    <w:rsid w:val="0000291B"/>
    <w:rsid w:val="00004879"/>
    <w:rsid w:val="00010E23"/>
    <w:rsid w:val="00022CBB"/>
    <w:rsid w:val="00040014"/>
    <w:rsid w:val="00043D5C"/>
    <w:rsid w:val="00052382"/>
    <w:rsid w:val="0008446B"/>
    <w:rsid w:val="00086A84"/>
    <w:rsid w:val="00092F8C"/>
    <w:rsid w:val="00096C76"/>
    <w:rsid w:val="000A3201"/>
    <w:rsid w:val="000A3719"/>
    <w:rsid w:val="000A6537"/>
    <w:rsid w:val="000D2EB6"/>
    <w:rsid w:val="000E7407"/>
    <w:rsid w:val="000F1C5E"/>
    <w:rsid w:val="000F5473"/>
    <w:rsid w:val="0010741B"/>
    <w:rsid w:val="00107F2C"/>
    <w:rsid w:val="001308D4"/>
    <w:rsid w:val="0013200E"/>
    <w:rsid w:val="00132443"/>
    <w:rsid w:val="00154173"/>
    <w:rsid w:val="00185D21"/>
    <w:rsid w:val="00190912"/>
    <w:rsid w:val="001A6C5B"/>
    <w:rsid w:val="001C6204"/>
    <w:rsid w:val="001F2D7A"/>
    <w:rsid w:val="001F42A1"/>
    <w:rsid w:val="0021683A"/>
    <w:rsid w:val="00221971"/>
    <w:rsid w:val="00267C9E"/>
    <w:rsid w:val="00276275"/>
    <w:rsid w:val="00293C1D"/>
    <w:rsid w:val="00293D6B"/>
    <w:rsid w:val="002A6E51"/>
    <w:rsid w:val="002B4D2D"/>
    <w:rsid w:val="002C191E"/>
    <w:rsid w:val="002F7018"/>
    <w:rsid w:val="00306E60"/>
    <w:rsid w:val="00320C60"/>
    <w:rsid w:val="00341707"/>
    <w:rsid w:val="003547FC"/>
    <w:rsid w:val="0036628B"/>
    <w:rsid w:val="0039154F"/>
    <w:rsid w:val="0039712D"/>
    <w:rsid w:val="003A0DCF"/>
    <w:rsid w:val="003B50D0"/>
    <w:rsid w:val="003E5611"/>
    <w:rsid w:val="003F5D13"/>
    <w:rsid w:val="00410DF9"/>
    <w:rsid w:val="004127D5"/>
    <w:rsid w:val="004262E5"/>
    <w:rsid w:val="00442227"/>
    <w:rsid w:val="00446B83"/>
    <w:rsid w:val="004658D6"/>
    <w:rsid w:val="004859EB"/>
    <w:rsid w:val="004B648D"/>
    <w:rsid w:val="004C00B4"/>
    <w:rsid w:val="004C1650"/>
    <w:rsid w:val="004D5ABB"/>
    <w:rsid w:val="00534A74"/>
    <w:rsid w:val="00550F1E"/>
    <w:rsid w:val="00574D6E"/>
    <w:rsid w:val="005B1A40"/>
    <w:rsid w:val="005C3A9E"/>
    <w:rsid w:val="005C4657"/>
    <w:rsid w:val="005C4CC3"/>
    <w:rsid w:val="005C7D06"/>
    <w:rsid w:val="005D1AAA"/>
    <w:rsid w:val="005D2994"/>
    <w:rsid w:val="005D2A02"/>
    <w:rsid w:val="005E1407"/>
    <w:rsid w:val="005E2FD2"/>
    <w:rsid w:val="005E5332"/>
    <w:rsid w:val="005F3391"/>
    <w:rsid w:val="0060263F"/>
    <w:rsid w:val="006201D5"/>
    <w:rsid w:val="006332D2"/>
    <w:rsid w:val="0063508A"/>
    <w:rsid w:val="006456C3"/>
    <w:rsid w:val="0066699E"/>
    <w:rsid w:val="0069019D"/>
    <w:rsid w:val="006903AA"/>
    <w:rsid w:val="0069135D"/>
    <w:rsid w:val="006A0615"/>
    <w:rsid w:val="006A5E14"/>
    <w:rsid w:val="006B1C9A"/>
    <w:rsid w:val="007004D7"/>
    <w:rsid w:val="00707BA5"/>
    <w:rsid w:val="00713A95"/>
    <w:rsid w:val="007303DF"/>
    <w:rsid w:val="00752AAC"/>
    <w:rsid w:val="00771E33"/>
    <w:rsid w:val="007A1D2D"/>
    <w:rsid w:val="007B43CB"/>
    <w:rsid w:val="007F29D4"/>
    <w:rsid w:val="007F635B"/>
    <w:rsid w:val="00805EAB"/>
    <w:rsid w:val="00814AFE"/>
    <w:rsid w:val="00820AC6"/>
    <w:rsid w:val="00823B5E"/>
    <w:rsid w:val="00831D96"/>
    <w:rsid w:val="00846613"/>
    <w:rsid w:val="0088402D"/>
    <w:rsid w:val="00893CD8"/>
    <w:rsid w:val="008C76BC"/>
    <w:rsid w:val="00916B6C"/>
    <w:rsid w:val="00947828"/>
    <w:rsid w:val="00990F74"/>
    <w:rsid w:val="009A056D"/>
    <w:rsid w:val="009B0E10"/>
    <w:rsid w:val="009B15BA"/>
    <w:rsid w:val="009B6E0A"/>
    <w:rsid w:val="009C2E38"/>
    <w:rsid w:val="009C6502"/>
    <w:rsid w:val="009E1265"/>
    <w:rsid w:val="009E3F81"/>
    <w:rsid w:val="00A22959"/>
    <w:rsid w:val="00A441EE"/>
    <w:rsid w:val="00A6124E"/>
    <w:rsid w:val="00A75FC5"/>
    <w:rsid w:val="00A90A21"/>
    <w:rsid w:val="00A92111"/>
    <w:rsid w:val="00A97BD0"/>
    <w:rsid w:val="00AA0FA4"/>
    <w:rsid w:val="00AB7433"/>
    <w:rsid w:val="00AE2F7F"/>
    <w:rsid w:val="00AF67EE"/>
    <w:rsid w:val="00B01ECC"/>
    <w:rsid w:val="00B07DF5"/>
    <w:rsid w:val="00B12DC2"/>
    <w:rsid w:val="00B13EB6"/>
    <w:rsid w:val="00B2528C"/>
    <w:rsid w:val="00B57C93"/>
    <w:rsid w:val="00B81E53"/>
    <w:rsid w:val="00B81E76"/>
    <w:rsid w:val="00B95CE4"/>
    <w:rsid w:val="00BA6703"/>
    <w:rsid w:val="00BC096C"/>
    <w:rsid w:val="00BD20ED"/>
    <w:rsid w:val="00BD752F"/>
    <w:rsid w:val="00BF57CE"/>
    <w:rsid w:val="00BF7EB5"/>
    <w:rsid w:val="00C06AD9"/>
    <w:rsid w:val="00C07F73"/>
    <w:rsid w:val="00C22A37"/>
    <w:rsid w:val="00C24DD5"/>
    <w:rsid w:val="00C4614B"/>
    <w:rsid w:val="00C570E8"/>
    <w:rsid w:val="00C61AC3"/>
    <w:rsid w:val="00C7009F"/>
    <w:rsid w:val="00C964BD"/>
    <w:rsid w:val="00CB75A8"/>
    <w:rsid w:val="00CD303D"/>
    <w:rsid w:val="00CE7479"/>
    <w:rsid w:val="00D0761F"/>
    <w:rsid w:val="00D127EB"/>
    <w:rsid w:val="00D201A4"/>
    <w:rsid w:val="00D23DA0"/>
    <w:rsid w:val="00D247CF"/>
    <w:rsid w:val="00D42133"/>
    <w:rsid w:val="00D53AC7"/>
    <w:rsid w:val="00D85B0E"/>
    <w:rsid w:val="00D878B4"/>
    <w:rsid w:val="00D93AD4"/>
    <w:rsid w:val="00DC1728"/>
    <w:rsid w:val="00DD7B8E"/>
    <w:rsid w:val="00DF1F6D"/>
    <w:rsid w:val="00DF558A"/>
    <w:rsid w:val="00DF7D13"/>
    <w:rsid w:val="00E0499B"/>
    <w:rsid w:val="00E209C9"/>
    <w:rsid w:val="00E34354"/>
    <w:rsid w:val="00E455AD"/>
    <w:rsid w:val="00E84A41"/>
    <w:rsid w:val="00E9459F"/>
    <w:rsid w:val="00EA327B"/>
    <w:rsid w:val="00EA6A7F"/>
    <w:rsid w:val="00EB0F52"/>
    <w:rsid w:val="00ED09A2"/>
    <w:rsid w:val="00EE48BF"/>
    <w:rsid w:val="00EF6560"/>
    <w:rsid w:val="00F04103"/>
    <w:rsid w:val="00F12311"/>
    <w:rsid w:val="00F2025E"/>
    <w:rsid w:val="00F30542"/>
    <w:rsid w:val="00F31C27"/>
    <w:rsid w:val="00F41763"/>
    <w:rsid w:val="00F543EB"/>
    <w:rsid w:val="00F5544D"/>
    <w:rsid w:val="00F67AF2"/>
    <w:rsid w:val="00F853C3"/>
    <w:rsid w:val="00F94232"/>
    <w:rsid w:val="00F962CC"/>
    <w:rsid w:val="00FC48FA"/>
    <w:rsid w:val="00FE4150"/>
    <w:rsid w:val="00FF0436"/>
    <w:rsid w:val="00FF0FBF"/>
    <w:rsid w:val="00FF43A7"/>
    <w:rsid w:val="079463AC"/>
    <w:rsid w:val="532325DE"/>
    <w:rsid w:val="544376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cs="Latha" w:asciiTheme="minorHAnsi" w:hAnsiTheme="minorHAnsi" w:eastAsiaTheme="minorHAnsi"/>
      <w:sz w:val="22"/>
      <w:szCs w:val="22"/>
      <w:lang w:val="en-US" w:eastAsia="en-US" w:bidi="ta-IN"/>
    </w:rPr>
  </w:style>
  <w:style w:type="paragraph" w:styleId="2">
    <w:name w:val="heading 1"/>
    <w:basedOn w:val="1"/>
    <w:next w:val="1"/>
    <w:link w:val="19"/>
    <w:qFormat/>
    <w:uiPriority w:val="9"/>
    <w:pPr>
      <w:keepNext/>
      <w:keepLines/>
      <w:spacing w:before="240" w:after="0"/>
      <w:outlineLvl w:val="0"/>
    </w:pPr>
    <w:rPr>
      <w:rFonts w:asciiTheme="majorHAnsi" w:hAnsiTheme="majorHAnsi" w:eastAsiaTheme="majorEastAsia" w:cstheme="majorBidi"/>
      <w:color w:val="2F5597" w:themeColor="accent1" w:themeShade="BF"/>
      <w:sz w:val="32"/>
      <w:szCs w:val="32"/>
    </w:rPr>
  </w:style>
  <w:style w:type="paragraph" w:styleId="3">
    <w:name w:val="heading 2"/>
    <w:basedOn w:val="1"/>
    <w:next w:val="1"/>
    <w:link w:val="23"/>
    <w:unhideWhenUsed/>
    <w:qFormat/>
    <w:uiPriority w:val="9"/>
    <w:pPr>
      <w:keepNext/>
      <w:keepLines/>
      <w:spacing w:before="40" w:after="0"/>
      <w:outlineLvl w:val="1"/>
    </w:pPr>
    <w:rPr>
      <w:rFonts w:asciiTheme="majorHAnsi" w:hAnsiTheme="majorHAnsi" w:eastAsiaTheme="majorEastAsia" w:cstheme="majorBidi"/>
      <w:color w:val="2F5597" w:themeColor="accent1" w:themeShade="BF"/>
      <w:sz w:val="26"/>
      <w:szCs w:val="26"/>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9"/>
    <w:semiHidden/>
    <w:unhideWhenUsed/>
    <w:uiPriority w:val="99"/>
    <w:pPr>
      <w:spacing w:after="0" w:line="240" w:lineRule="auto"/>
    </w:pPr>
    <w:rPr>
      <w:rFonts w:ascii="Segoe UI" w:hAnsi="Segoe UI" w:cs="Segoe UI"/>
      <w:sz w:val="18"/>
      <w:szCs w:val="18"/>
    </w:rPr>
  </w:style>
  <w:style w:type="paragraph" w:styleId="7">
    <w:name w:val="Body Text"/>
    <w:basedOn w:val="1"/>
    <w:link w:val="21"/>
    <w:qFormat/>
    <w:uiPriority w:val="1"/>
    <w:pPr>
      <w:widowControl w:val="0"/>
      <w:autoSpaceDE w:val="0"/>
      <w:autoSpaceDN w:val="0"/>
      <w:spacing w:after="0" w:line="240" w:lineRule="auto"/>
    </w:pPr>
    <w:rPr>
      <w:rFonts w:ascii="Times New Roman" w:hAnsi="Times New Roman" w:eastAsia="Times New Roman" w:cs="Times New Roman"/>
      <w:sz w:val="24"/>
      <w:szCs w:val="24"/>
      <w:lang w:bidi="ar-SA"/>
    </w:rPr>
  </w:style>
  <w:style w:type="character" w:styleId="8">
    <w:name w:val="annotation reference"/>
    <w:basedOn w:val="4"/>
    <w:semiHidden/>
    <w:unhideWhenUsed/>
    <w:uiPriority w:val="99"/>
    <w:rPr>
      <w:sz w:val="16"/>
      <w:szCs w:val="16"/>
    </w:rPr>
  </w:style>
  <w:style w:type="paragraph" w:styleId="9">
    <w:name w:val="annotation text"/>
    <w:basedOn w:val="1"/>
    <w:link w:val="27"/>
    <w:unhideWhenUsed/>
    <w:uiPriority w:val="99"/>
    <w:pPr>
      <w:spacing w:line="240" w:lineRule="auto"/>
    </w:pPr>
    <w:rPr>
      <w:sz w:val="20"/>
      <w:szCs w:val="20"/>
    </w:rPr>
  </w:style>
  <w:style w:type="paragraph" w:styleId="10">
    <w:name w:val="annotation subject"/>
    <w:basedOn w:val="9"/>
    <w:next w:val="9"/>
    <w:link w:val="28"/>
    <w:semiHidden/>
    <w:unhideWhenUsed/>
    <w:uiPriority w:val="99"/>
    <w:rPr>
      <w:b/>
      <w:bCs/>
    </w:rPr>
  </w:style>
  <w:style w:type="paragraph" w:styleId="11">
    <w:name w:val="footer"/>
    <w:basedOn w:val="1"/>
    <w:link w:val="26"/>
    <w:unhideWhenUsed/>
    <w:uiPriority w:val="99"/>
    <w:pPr>
      <w:tabs>
        <w:tab w:val="center" w:pos="4680"/>
        <w:tab w:val="right" w:pos="9360"/>
      </w:tabs>
      <w:spacing w:after="0" w:line="240" w:lineRule="auto"/>
    </w:pPr>
  </w:style>
  <w:style w:type="character" w:styleId="12">
    <w:name w:val="footnote reference"/>
    <w:basedOn w:val="4"/>
    <w:semiHidden/>
    <w:unhideWhenUsed/>
    <w:uiPriority w:val="99"/>
    <w:rPr>
      <w:vertAlign w:val="superscript"/>
    </w:rPr>
  </w:style>
  <w:style w:type="paragraph" w:styleId="13">
    <w:name w:val="footnote text"/>
    <w:basedOn w:val="1"/>
    <w:link w:val="32"/>
    <w:semiHidden/>
    <w:unhideWhenUsed/>
    <w:uiPriority w:val="99"/>
    <w:pPr>
      <w:spacing w:after="0" w:line="240" w:lineRule="auto"/>
    </w:pPr>
    <w:rPr>
      <w:rFonts w:cstheme="minorBidi"/>
      <w:sz w:val="20"/>
      <w:szCs w:val="20"/>
      <w:lang w:bidi="si-LK"/>
    </w:rPr>
  </w:style>
  <w:style w:type="paragraph" w:styleId="14">
    <w:name w:val="header"/>
    <w:basedOn w:val="1"/>
    <w:link w:val="25"/>
    <w:unhideWhenUsed/>
    <w:uiPriority w:val="99"/>
    <w:pPr>
      <w:tabs>
        <w:tab w:val="center" w:pos="4680"/>
        <w:tab w:val="right" w:pos="9360"/>
      </w:tabs>
      <w:spacing w:after="0" w:line="240" w:lineRule="auto"/>
    </w:pPr>
  </w:style>
  <w:style w:type="character" w:styleId="15">
    <w:name w:val="Hyperlink"/>
    <w:basedOn w:val="4"/>
    <w:unhideWhenUsed/>
    <w:uiPriority w:val="99"/>
    <w:rPr>
      <w:color w:val="0563C1" w:themeColor="hyperlink"/>
      <w:u w:val="single"/>
      <w14:textFill>
        <w14:solidFill>
          <w14:schemeClr w14:val="hlink"/>
        </w14:solidFill>
      </w14:textFill>
    </w:rPr>
  </w:style>
  <w:style w:type="paragraph" w:styleId="16">
    <w:name w:val="Normal (Web)"/>
    <w:basedOn w:val="1"/>
    <w:semiHidden/>
    <w:unhideWhenUsed/>
    <w:uiPriority w:val="99"/>
    <w:pPr>
      <w:spacing w:before="100" w:beforeAutospacing="1" w:after="100" w:afterAutospacing="1" w:line="240" w:lineRule="auto"/>
    </w:pPr>
    <w:rPr>
      <w:rFonts w:ascii="Times New Roman" w:hAnsi="Times New Roman" w:eastAsia="Times New Roman" w:cs="Times New Roman"/>
      <w:sz w:val="24"/>
      <w:szCs w:val="24"/>
      <w:lang w:bidi="ar-SA"/>
    </w:rPr>
  </w:style>
  <w:style w:type="table" w:styleId="17">
    <w:name w:val="Table Grid"/>
    <w:basedOn w:val="5"/>
    <w:uiPriority w:val="59"/>
    <w:pPr>
      <w:spacing w:after="0" w:line="240" w:lineRule="auto"/>
    </w:pPr>
    <w:rPr>
      <w:lang w:bidi="ta-I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8">
    <w:name w:val="Title"/>
    <w:basedOn w:val="1"/>
    <w:next w:val="1"/>
    <w:link w:val="20"/>
    <w:qFormat/>
    <w:uiPriority w:val="10"/>
    <w:pPr>
      <w:spacing w:after="0" w:line="240" w:lineRule="auto"/>
      <w:contextualSpacing/>
    </w:pPr>
    <w:rPr>
      <w:rFonts w:asciiTheme="majorHAnsi" w:hAnsiTheme="majorHAnsi" w:eastAsiaTheme="majorEastAsia" w:cstheme="majorBidi"/>
      <w:spacing w:val="-10"/>
      <w:kern w:val="28"/>
      <w:sz w:val="56"/>
      <w:szCs w:val="56"/>
    </w:rPr>
  </w:style>
  <w:style w:type="character" w:customStyle="1" w:styleId="19">
    <w:name w:val="Heading 1 Char"/>
    <w:basedOn w:val="4"/>
    <w:link w:val="2"/>
    <w:uiPriority w:val="9"/>
    <w:rPr>
      <w:rFonts w:asciiTheme="majorHAnsi" w:hAnsiTheme="majorHAnsi" w:eastAsiaTheme="majorEastAsia" w:cstheme="majorBidi"/>
      <w:color w:val="2F5597" w:themeColor="accent1" w:themeShade="BF"/>
      <w:sz w:val="32"/>
      <w:szCs w:val="32"/>
      <w:lang w:bidi="ta-IN"/>
    </w:rPr>
  </w:style>
  <w:style w:type="character" w:customStyle="1" w:styleId="20">
    <w:name w:val="Title Char"/>
    <w:basedOn w:val="4"/>
    <w:link w:val="18"/>
    <w:uiPriority w:val="10"/>
    <w:rPr>
      <w:rFonts w:asciiTheme="majorHAnsi" w:hAnsiTheme="majorHAnsi" w:eastAsiaTheme="majorEastAsia" w:cstheme="majorBidi"/>
      <w:spacing w:val="-10"/>
      <w:kern w:val="28"/>
      <w:sz w:val="56"/>
      <w:szCs w:val="56"/>
      <w:lang w:bidi="ta-IN"/>
    </w:rPr>
  </w:style>
  <w:style w:type="character" w:customStyle="1" w:styleId="21">
    <w:name w:val="Body Text Char"/>
    <w:basedOn w:val="4"/>
    <w:link w:val="7"/>
    <w:uiPriority w:val="1"/>
    <w:rPr>
      <w:rFonts w:ascii="Times New Roman" w:hAnsi="Times New Roman" w:eastAsia="Times New Roman" w:cs="Times New Roman"/>
      <w:sz w:val="24"/>
      <w:szCs w:val="24"/>
    </w:rPr>
  </w:style>
  <w:style w:type="paragraph" w:customStyle="1" w:styleId="22">
    <w:name w:val="Table Paragraph"/>
    <w:basedOn w:val="1"/>
    <w:qFormat/>
    <w:uiPriority w:val="1"/>
    <w:pPr>
      <w:widowControl w:val="0"/>
      <w:autoSpaceDE w:val="0"/>
      <w:autoSpaceDN w:val="0"/>
      <w:spacing w:after="0" w:line="240" w:lineRule="auto"/>
    </w:pPr>
    <w:rPr>
      <w:rFonts w:ascii="Times New Roman" w:hAnsi="Times New Roman" w:eastAsia="Times New Roman" w:cs="Times New Roman"/>
      <w:lang w:bidi="ar-SA"/>
    </w:rPr>
  </w:style>
  <w:style w:type="character" w:customStyle="1" w:styleId="23">
    <w:name w:val="Heading 2 Char"/>
    <w:basedOn w:val="4"/>
    <w:link w:val="3"/>
    <w:qFormat/>
    <w:uiPriority w:val="9"/>
    <w:rPr>
      <w:rFonts w:asciiTheme="majorHAnsi" w:hAnsiTheme="majorHAnsi" w:eastAsiaTheme="majorEastAsia" w:cstheme="majorBidi"/>
      <w:color w:val="2F5597" w:themeColor="accent1" w:themeShade="BF"/>
      <w:sz w:val="26"/>
      <w:szCs w:val="26"/>
      <w:lang w:bidi="ta-IN"/>
    </w:rPr>
  </w:style>
  <w:style w:type="character" w:customStyle="1" w:styleId="24">
    <w:name w:val="Unresolved Mention1"/>
    <w:basedOn w:val="4"/>
    <w:semiHidden/>
    <w:unhideWhenUsed/>
    <w:uiPriority w:val="99"/>
    <w:rPr>
      <w:color w:val="605E5C"/>
      <w:shd w:val="clear" w:color="auto" w:fill="E1DFDD"/>
    </w:rPr>
  </w:style>
  <w:style w:type="character" w:customStyle="1" w:styleId="25">
    <w:name w:val="Header Char"/>
    <w:basedOn w:val="4"/>
    <w:link w:val="14"/>
    <w:uiPriority w:val="99"/>
    <w:rPr>
      <w:rFonts w:cs="Latha"/>
      <w:lang w:bidi="ta-IN"/>
    </w:rPr>
  </w:style>
  <w:style w:type="character" w:customStyle="1" w:styleId="26">
    <w:name w:val="Footer Char"/>
    <w:basedOn w:val="4"/>
    <w:link w:val="11"/>
    <w:uiPriority w:val="99"/>
    <w:rPr>
      <w:rFonts w:cs="Latha"/>
      <w:lang w:bidi="ta-IN"/>
    </w:rPr>
  </w:style>
  <w:style w:type="character" w:customStyle="1" w:styleId="27">
    <w:name w:val="Comment Text Char"/>
    <w:basedOn w:val="4"/>
    <w:link w:val="9"/>
    <w:uiPriority w:val="99"/>
    <w:rPr>
      <w:rFonts w:cs="Latha"/>
      <w:sz w:val="20"/>
      <w:szCs w:val="20"/>
      <w:lang w:bidi="ta-IN"/>
    </w:rPr>
  </w:style>
  <w:style w:type="character" w:customStyle="1" w:styleId="28">
    <w:name w:val="Comment Subject Char"/>
    <w:basedOn w:val="27"/>
    <w:link w:val="10"/>
    <w:semiHidden/>
    <w:uiPriority w:val="99"/>
    <w:rPr>
      <w:rFonts w:cs="Latha"/>
      <w:b/>
      <w:bCs/>
      <w:sz w:val="20"/>
      <w:szCs w:val="20"/>
      <w:lang w:bidi="ta-IN"/>
    </w:rPr>
  </w:style>
  <w:style w:type="character" w:customStyle="1" w:styleId="29">
    <w:name w:val="Balloon Text Char"/>
    <w:basedOn w:val="4"/>
    <w:link w:val="6"/>
    <w:semiHidden/>
    <w:uiPriority w:val="99"/>
    <w:rPr>
      <w:rFonts w:ascii="Segoe UI" w:hAnsi="Segoe UI" w:cs="Segoe UI"/>
      <w:sz w:val="18"/>
      <w:szCs w:val="18"/>
      <w:lang w:bidi="ta-IN"/>
    </w:rPr>
  </w:style>
  <w:style w:type="paragraph" w:customStyle="1" w:styleId="30">
    <w:name w:val="Revision"/>
    <w:hidden/>
    <w:semiHidden/>
    <w:uiPriority w:val="99"/>
    <w:pPr>
      <w:spacing w:after="0" w:line="240" w:lineRule="auto"/>
    </w:pPr>
    <w:rPr>
      <w:rFonts w:cs="Latha" w:asciiTheme="minorHAnsi" w:hAnsiTheme="minorHAnsi" w:eastAsiaTheme="minorHAnsi"/>
      <w:sz w:val="22"/>
      <w:szCs w:val="22"/>
      <w:lang w:val="en-US" w:eastAsia="en-US" w:bidi="ta-IN"/>
    </w:rPr>
  </w:style>
  <w:style w:type="character" w:customStyle="1" w:styleId="31">
    <w:name w:val="cf01"/>
    <w:basedOn w:val="4"/>
    <w:uiPriority w:val="0"/>
    <w:rPr>
      <w:rFonts w:hint="default" w:ascii="Segoe UI" w:hAnsi="Segoe UI" w:cs="Segoe UI"/>
      <w:sz w:val="18"/>
      <w:szCs w:val="18"/>
    </w:rPr>
  </w:style>
  <w:style w:type="character" w:customStyle="1" w:styleId="32">
    <w:name w:val="Footnote Text Char"/>
    <w:basedOn w:val="4"/>
    <w:link w:val="13"/>
    <w:semiHidden/>
    <w:uiPriority w:val="99"/>
    <w:rPr>
      <w:sz w:val="20"/>
      <w:szCs w:val="20"/>
      <w:lang w:bidi="si-LK"/>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endnotes" Target="endnotes.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6100</Words>
  <Characters>34774</Characters>
  <Lines>289</Lines>
  <Paragraphs>81</Paragraphs>
  <TotalTime>3</TotalTime>
  <ScaleCrop>false</ScaleCrop>
  <LinksUpToDate>false</LinksUpToDate>
  <CharactersWithSpaces>40793</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2023-10-09T07:21:00Z</dcterms:created>
  <dc:creator>S D P P Kannangara</dc:creator>
  <cp:lastModifiedBy>Subhashini Weerakkody - Univer</cp:lastModifiedBy>
  <dcterms:modified xsi:type="dcterms:W3CDTF">2024-03-19T12:13:37Z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76d2617d5d45775611fb7c9f3853c857c725fa0d938b0aeb169a20c42f705bbd</vt:lpwstr>
  </property>
  <property fmtid="{D5CDD505-2E9C-101B-9397-08002B2CF9AE}" pid="3" name="KSOProductBuildVer">
    <vt:lpwstr>2057-12.2.0.13489</vt:lpwstr>
  </property>
  <property fmtid="{D5CDD505-2E9C-101B-9397-08002B2CF9AE}" pid="4" name="ICV">
    <vt:lpwstr>220EF8C2C10C40E08DD7D921E3B93823_12</vt:lpwstr>
  </property>
</Properties>
</file>