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B10C3">
      <w:pPr>
        <w:shd w:val="clear" w:color="auto" w:fill="FFFFFF"/>
        <w:spacing w:line="223" w:lineRule="exact"/>
      </w:pPr>
      <w:r>
        <w:rPr>
          <w:b/>
          <w:bCs/>
          <w:color w:val="000000"/>
        </w:rPr>
        <w:t>OP 38:  Is osteoporosis more common among adult Sri Lankans with inflammatory bowel disease (IBD)?</w:t>
      </w:r>
    </w:p>
    <w:p w:rsidR="00000000" w:rsidRDefault="00EB10C3">
      <w:pPr>
        <w:shd w:val="clear" w:color="auto" w:fill="FFFFFF"/>
        <w:spacing w:line="223" w:lineRule="exact"/>
        <w:ind w:left="677"/>
      </w:pPr>
      <w:r>
        <w:rPr>
          <w:i/>
          <w:iCs/>
          <w:color w:val="000000"/>
          <w:spacing w:val="-1"/>
        </w:rPr>
        <w:t>De Silva^AP</w:t>
      </w:r>
      <w:r>
        <w:rPr>
          <w:i/>
          <w:iCs/>
          <w:color w:val="000000"/>
          <w:spacing w:val="-1"/>
          <w:vertAlign w:val="superscript"/>
        </w:rPr>
        <w:t>1</w:t>
      </w:r>
      <w:r>
        <w:rPr>
          <w:i/>
          <w:iCs/>
          <w:color w:val="000000"/>
          <w:spacing w:val="-1"/>
        </w:rPr>
        <w:t>, Karunanayake AL</w:t>
      </w:r>
      <w:r>
        <w:rPr>
          <w:i/>
          <w:iCs/>
          <w:color w:val="000000"/>
          <w:spacing w:val="-1"/>
          <w:vertAlign w:val="superscript"/>
        </w:rPr>
        <w:t>2</w:t>
      </w:r>
      <w:r>
        <w:rPr>
          <w:i/>
          <w:iCs/>
          <w:color w:val="000000"/>
          <w:spacing w:val="-1"/>
        </w:rPr>
        <w:t>, Dissanayaka TGI</w:t>
      </w:r>
      <w:r>
        <w:rPr>
          <w:i/>
          <w:iCs/>
          <w:color w:val="000000"/>
          <w:spacing w:val="-1"/>
          <w:vertAlign w:val="superscript"/>
        </w:rPr>
        <w:t>1</w:t>
      </w:r>
      <w:r>
        <w:rPr>
          <w:i/>
          <w:iCs/>
          <w:color w:val="000000"/>
          <w:spacing w:val="-1"/>
        </w:rPr>
        <w:t>, Dassanayake AS</w:t>
      </w:r>
      <w:r>
        <w:rPr>
          <w:i/>
          <w:iCs/>
          <w:color w:val="000000"/>
          <w:spacing w:val="-1"/>
          <w:vertAlign w:val="superscript"/>
        </w:rPr>
        <w:t>3</w:t>
      </w:r>
      <w:r>
        <w:rPr>
          <w:i/>
          <w:iCs/>
          <w:color w:val="000000"/>
          <w:spacing w:val="-1"/>
        </w:rPr>
        <w:t>, Duminda HKKT, Pathmeswaran</w:t>
      </w:r>
    </w:p>
    <w:p w:rsidR="00000000" w:rsidRDefault="00EB10C3">
      <w:pPr>
        <w:shd w:val="clear" w:color="auto" w:fill="FFFFFF"/>
        <w:spacing w:line="223" w:lineRule="exact"/>
        <w:ind w:left="677"/>
      </w:pPr>
      <w:r>
        <w:rPr>
          <w:i/>
          <w:iCs/>
          <w:color w:val="000000"/>
          <w:spacing w:val="5"/>
          <w:sz w:val="21"/>
          <w:szCs w:val="21"/>
        </w:rPr>
        <w:t>A</w:t>
      </w:r>
      <w:r>
        <w:rPr>
          <w:i/>
          <w:iCs/>
          <w:color w:val="000000"/>
          <w:spacing w:val="5"/>
          <w:sz w:val="21"/>
          <w:szCs w:val="21"/>
          <w:vertAlign w:val="superscript"/>
        </w:rPr>
        <w:t>4</w:t>
      </w:r>
      <w:r>
        <w:rPr>
          <w:i/>
          <w:iCs/>
          <w:color w:val="000000"/>
          <w:spacing w:val="5"/>
          <w:sz w:val="21"/>
          <w:szCs w:val="21"/>
        </w:rPr>
        <w:t>,deSilvaHJ</w:t>
      </w:r>
      <w:r>
        <w:rPr>
          <w:i/>
          <w:iCs/>
          <w:color w:val="000000"/>
          <w:spacing w:val="5"/>
          <w:sz w:val="21"/>
          <w:szCs w:val="21"/>
          <w:vertAlign w:val="superscript"/>
        </w:rPr>
        <w:t>!</w:t>
      </w:r>
    </w:p>
    <w:p w:rsidR="00000000" w:rsidRDefault="00EB10C3">
      <w:pPr>
        <w:shd w:val="clear" w:color="auto" w:fill="FFFFFF"/>
        <w:spacing w:line="223" w:lineRule="exact"/>
        <w:ind w:left="677"/>
      </w:pPr>
      <w:r>
        <w:rPr>
          <w:i/>
          <w:iCs/>
          <w:color w:val="000000"/>
          <w:spacing w:val="6"/>
        </w:rPr>
        <w:t xml:space="preserve">Departments of </w:t>
      </w:r>
      <w:r>
        <w:rPr>
          <w:i/>
          <w:iCs/>
          <w:color w:val="000000"/>
          <w:spacing w:val="6"/>
          <w:vertAlign w:val="superscript"/>
        </w:rPr>
        <w:t>!</w:t>
      </w:r>
      <w:r>
        <w:rPr>
          <w:i/>
          <w:iCs/>
          <w:color w:val="000000"/>
          <w:spacing w:val="6"/>
        </w:rPr>
        <w:t xml:space="preserve"> Medicine, </w:t>
      </w:r>
      <w:r>
        <w:rPr>
          <w:i/>
          <w:iCs/>
          <w:color w:val="000000"/>
          <w:spacing w:val="6"/>
          <w:vertAlign w:val="superscript"/>
        </w:rPr>
        <w:t>2</w:t>
      </w:r>
      <w:r>
        <w:rPr>
          <w:i/>
          <w:iCs/>
          <w:color w:val="000000"/>
          <w:spacing w:val="6"/>
        </w:rPr>
        <w:t xml:space="preserve"> Anatomy, </w:t>
      </w:r>
      <w:r>
        <w:rPr>
          <w:i/>
          <w:iCs/>
          <w:color w:val="000000"/>
          <w:spacing w:val="6"/>
          <w:vertAlign w:val="superscript"/>
        </w:rPr>
        <w:t>3</w:t>
      </w:r>
      <w:r>
        <w:rPr>
          <w:i/>
          <w:iCs/>
          <w:color w:val="000000"/>
          <w:spacing w:val="6"/>
        </w:rPr>
        <w:t xml:space="preserve"> Pharmacology and </w:t>
      </w:r>
      <w:r>
        <w:rPr>
          <w:i/>
          <w:iCs/>
          <w:color w:val="000000"/>
          <w:spacing w:val="6"/>
          <w:vertAlign w:val="superscript"/>
        </w:rPr>
        <w:t>4</w:t>
      </w:r>
      <w:r>
        <w:rPr>
          <w:i/>
          <w:iCs/>
          <w:color w:val="000000"/>
          <w:spacing w:val="6"/>
        </w:rPr>
        <w:t xml:space="preserve"> Public Health, Faculty of Medicine,</w:t>
      </w:r>
    </w:p>
    <w:p w:rsidR="00000000" w:rsidRDefault="00EB10C3">
      <w:pPr>
        <w:shd w:val="clear" w:color="auto" w:fill="FFFFFF"/>
        <w:spacing w:line="223" w:lineRule="exact"/>
        <w:ind w:left="698"/>
      </w:pPr>
      <w:r>
        <w:rPr>
          <w:i/>
          <w:iCs/>
          <w:color w:val="000000"/>
          <w:spacing w:val="2"/>
        </w:rPr>
        <w:t>University ofKelaniya</w:t>
      </w:r>
    </w:p>
    <w:p w:rsidR="00000000" w:rsidRDefault="00EB10C3">
      <w:pPr>
        <w:shd w:val="clear" w:color="auto" w:fill="FFFFFF"/>
        <w:spacing w:before="230" w:line="223" w:lineRule="exact"/>
        <w:ind w:left="691"/>
      </w:pPr>
      <w:r>
        <w:rPr>
          <w:b/>
          <w:bCs/>
          <w:color w:val="000000"/>
          <w:spacing w:val="1"/>
        </w:rPr>
        <w:t xml:space="preserve">Background: </w:t>
      </w:r>
      <w:r>
        <w:rPr>
          <w:color w:val="000000"/>
          <w:spacing w:val="1"/>
        </w:rPr>
        <w:t xml:space="preserve">IBD is a recognized risk factor for osteoporosis among Caucasians. Although the incidence </w:t>
      </w:r>
      <w:r>
        <w:rPr>
          <w:color w:val="000000"/>
        </w:rPr>
        <w:t>of IBD seems to be increasing in Asians, there are no data on osteoporosis i</w:t>
      </w:r>
      <w:r>
        <w:rPr>
          <w:color w:val="000000"/>
        </w:rPr>
        <w:t xml:space="preserve">n Asian patients. </w:t>
      </w:r>
      <w:r>
        <w:rPr>
          <w:b/>
          <w:bCs/>
          <w:color w:val="000000"/>
        </w:rPr>
        <w:t xml:space="preserve">Objective: </w:t>
      </w:r>
      <w:r>
        <w:rPr>
          <w:color w:val="000000"/>
        </w:rPr>
        <w:t xml:space="preserve">To determine whether osteoporosis is more common among adult Sri Lankans with IBD. </w:t>
      </w:r>
      <w:r>
        <w:rPr>
          <w:b/>
          <w:bCs/>
          <w:color w:val="000000"/>
          <w:spacing w:val="2"/>
        </w:rPr>
        <w:t xml:space="preserve">Design, setting and methods: </w:t>
      </w:r>
      <w:r>
        <w:rPr>
          <w:color w:val="000000"/>
          <w:spacing w:val="2"/>
        </w:rPr>
        <w:t xml:space="preserve">Consecutive patients with previously diagnosed IBD who were older than </w:t>
      </w:r>
      <w:r>
        <w:rPr>
          <w:color w:val="000000"/>
          <w:spacing w:val="5"/>
        </w:rPr>
        <w:t>30 years and age and sex matched controls fr</w:t>
      </w:r>
      <w:r>
        <w:rPr>
          <w:color w:val="000000"/>
          <w:spacing w:val="5"/>
        </w:rPr>
        <w:t xml:space="preserve">om the general population (3 controls for I patient) were </w:t>
      </w:r>
      <w:r>
        <w:rPr>
          <w:color w:val="000000"/>
        </w:rPr>
        <w:t xml:space="preserve">screened for osteoporosis using a previously validated peripheral DEXA scan. Patients who were pregnant, </w:t>
      </w:r>
      <w:r>
        <w:rPr>
          <w:color w:val="000000"/>
          <w:spacing w:val="1"/>
        </w:rPr>
        <w:t>had other significant co-morbidities, were on caicium supplements or on treatment for osteopo</w:t>
      </w:r>
      <w:r>
        <w:rPr>
          <w:color w:val="000000"/>
          <w:spacing w:val="1"/>
        </w:rPr>
        <w:t>rosis within the past 6 months were excluded.</w:t>
      </w:r>
    </w:p>
    <w:p w:rsidR="00000000" w:rsidRDefault="00EB10C3">
      <w:pPr>
        <w:shd w:val="clear" w:color="auto" w:fill="FFFFFF"/>
        <w:spacing w:line="223" w:lineRule="exact"/>
        <w:ind w:left="691" w:right="43"/>
        <w:jc w:val="both"/>
      </w:pPr>
      <w:r>
        <w:rPr>
          <w:b/>
          <w:bCs/>
          <w:color w:val="000000"/>
          <w:spacing w:val="2"/>
        </w:rPr>
        <w:t xml:space="preserve">Results: </w:t>
      </w:r>
      <w:r>
        <w:rPr>
          <w:color w:val="000000"/>
          <w:spacing w:val="2"/>
        </w:rPr>
        <w:t xml:space="preserve">There were 86 IBD patients (55 females, mean age 46.4 years) and 258 controls (165 females, </w:t>
      </w:r>
      <w:r>
        <w:rPr>
          <w:color w:val="000000"/>
          <w:spacing w:val="1"/>
        </w:rPr>
        <w:t xml:space="preserve">mean age 47.3 years). Osteoporosis was significantly more common among IBD patients (14.7%) than </w:t>
      </w:r>
      <w:r>
        <w:rPr>
          <w:color w:val="000000"/>
          <w:spacing w:val="-1"/>
        </w:rPr>
        <w:t>controls (6.</w:t>
      </w:r>
      <w:r>
        <w:rPr>
          <w:color w:val="000000"/>
          <w:spacing w:val="-1"/>
        </w:rPr>
        <w:t xml:space="preserve">5%) (P=0.048). Increasing age (P=0.019), female gender (P=O.OOS), menopause (P=0.022) and </w:t>
      </w:r>
      <w:r>
        <w:rPr>
          <w:color w:val="000000"/>
        </w:rPr>
        <w:t xml:space="preserve">use of systemic steroids (P= 0.008) were found to be significantly associated with osteoporosis among JBD </w:t>
      </w:r>
      <w:r>
        <w:rPr>
          <w:color w:val="000000"/>
          <w:spacing w:val="1"/>
        </w:rPr>
        <w:t xml:space="preserve">patients, while severity of disease (PKK470), number of relapses (P=0.391), duration of illness (P=0.540) </w:t>
      </w:r>
      <w:r>
        <w:rPr>
          <w:color w:val="000000"/>
        </w:rPr>
        <w:t xml:space="preserve">and treatments other than systemic steroids (P=0.434) were not. Osteoporosis did not differ significantly </w:t>
      </w:r>
      <w:r>
        <w:rPr>
          <w:color w:val="000000"/>
          <w:spacing w:val="1"/>
        </w:rPr>
        <w:t>between patients with ulcerative colitis (14</w:t>
      </w:r>
      <w:r>
        <w:rPr>
          <w:color w:val="000000"/>
          <w:spacing w:val="1"/>
        </w:rPr>
        <w:t xml:space="preserve">.28%) and Crohn's disease (15.79%) (P=0.891). </w:t>
      </w:r>
      <w:r>
        <w:rPr>
          <w:b/>
          <w:bCs/>
          <w:color w:val="000000"/>
        </w:rPr>
        <w:t xml:space="preserve">Conclusion: </w:t>
      </w:r>
      <w:r>
        <w:rPr>
          <w:color w:val="000000"/>
        </w:rPr>
        <w:t xml:space="preserve">Osteoporosis is more common among adult Sri Lankans with IBD than community controls. The use of systemic steroids is a disease related independent risk factor for development of osteoporosis in </w:t>
      </w:r>
      <w:r>
        <w:rPr>
          <w:color w:val="000000"/>
          <w:spacing w:val="-1"/>
        </w:rPr>
        <w:t>the</w:t>
      </w:r>
      <w:r>
        <w:rPr>
          <w:color w:val="000000"/>
          <w:spacing w:val="-1"/>
        </w:rPr>
        <w:t>se patients.</w:t>
      </w:r>
    </w:p>
    <w:p w:rsidR="00000000" w:rsidRDefault="00EB10C3">
      <w:pPr>
        <w:shd w:val="clear" w:color="auto" w:fill="FFFFFF"/>
        <w:spacing w:before="677" w:line="230" w:lineRule="exact"/>
        <w:ind w:left="706"/>
      </w:pPr>
      <w:r>
        <w:rPr>
          <w:b/>
          <w:bCs/>
          <w:color w:val="000000"/>
        </w:rPr>
        <w:t>Prevalence of osteoporosis in a sample of Sri Lankan urban population</w:t>
      </w:r>
    </w:p>
    <w:p w:rsidR="00000000" w:rsidRDefault="00EB10C3">
      <w:pPr>
        <w:shd w:val="clear" w:color="auto" w:fill="FFFFFF"/>
        <w:spacing w:line="230" w:lineRule="exact"/>
        <w:ind w:left="698"/>
      </w:pPr>
      <w:r>
        <w:rPr>
          <w:i/>
          <w:iCs/>
          <w:color w:val="000000"/>
          <w:spacing w:val="1"/>
          <w:u w:val="single"/>
        </w:rPr>
        <w:t>Karunanayake AL,</w:t>
      </w:r>
      <w:r>
        <w:rPr>
          <w:i/>
          <w:iCs/>
          <w:color w:val="000000"/>
          <w:spacing w:val="1"/>
        </w:rPr>
        <w:t xml:space="preserve"> Salgado LSS, Abeysuriya V, Fernando S, Herath HMRP, Kumarendran B, Premaratna BAHR, Mahawithanage STC; for the Ragama Health Study Group </w:t>
      </w:r>
      <w:r>
        <w:rPr>
          <w:i/>
          <w:iCs/>
          <w:color w:val="000000"/>
          <w:spacing w:val="2"/>
        </w:rPr>
        <w:t>Faculty of Medicine</w:t>
      </w:r>
      <w:r>
        <w:rPr>
          <w:i/>
          <w:iCs/>
          <w:color w:val="000000"/>
          <w:spacing w:val="2"/>
        </w:rPr>
        <w:t>, University ofKelaniya</w:t>
      </w:r>
    </w:p>
    <w:p w:rsidR="00000000" w:rsidRDefault="00EB10C3">
      <w:pPr>
        <w:shd w:val="clear" w:color="auto" w:fill="FFFFFF"/>
        <w:spacing w:before="230" w:line="223" w:lineRule="exact"/>
        <w:ind w:left="713"/>
      </w:pPr>
      <w:r>
        <w:rPr>
          <w:b/>
          <w:bCs/>
          <w:color w:val="000000"/>
          <w:spacing w:val="3"/>
        </w:rPr>
        <w:t xml:space="preserve">Background: </w:t>
      </w:r>
      <w:r>
        <w:rPr>
          <w:color w:val="000000"/>
          <w:spacing w:val="3"/>
        </w:rPr>
        <w:t>Osteoporosis is characterized by low bone mineral density and deterioration in the micro</w:t>
      </w:r>
    </w:p>
    <w:p w:rsidR="00000000" w:rsidRDefault="00EB10C3">
      <w:pPr>
        <w:shd w:val="clear" w:color="auto" w:fill="FFFFFF"/>
        <w:spacing w:line="223" w:lineRule="exact"/>
        <w:ind w:left="713"/>
      </w:pPr>
      <w:r>
        <w:rPr>
          <w:b/>
          <w:bCs/>
          <w:color w:val="000000"/>
          <w:spacing w:val="2"/>
        </w:rPr>
        <w:t xml:space="preserve">architecture </w:t>
      </w:r>
      <w:r>
        <w:rPr>
          <w:color w:val="000000"/>
          <w:spacing w:val="2"/>
        </w:rPr>
        <w:t>of bone. It predisposes individuals to increased risk of fractures of the hip, spine and other</w:t>
      </w:r>
    </w:p>
    <w:p w:rsidR="00000000" w:rsidRDefault="00EB10C3">
      <w:pPr>
        <w:shd w:val="clear" w:color="auto" w:fill="FFFFFF"/>
        <w:spacing w:line="223" w:lineRule="exact"/>
        <w:ind w:left="713"/>
      </w:pPr>
      <w:r>
        <w:rPr>
          <w:color w:val="000000"/>
          <w:spacing w:val="4"/>
        </w:rPr>
        <w:t>skeletal sites. Peripheral DEXA (P-DEXA) scans are ideal for mass screening of bone mineral density</w:t>
      </w:r>
    </w:p>
    <w:p w:rsidR="00000000" w:rsidRDefault="00EB10C3">
      <w:pPr>
        <w:shd w:val="clear" w:color="auto" w:fill="FFFFFF"/>
        <w:spacing w:line="223" w:lineRule="exact"/>
        <w:ind w:left="713"/>
      </w:pPr>
      <w:r>
        <w:rPr>
          <w:color w:val="000000"/>
          <w:spacing w:val="-3"/>
        </w:rPr>
        <w:t>(BMD).</w:t>
      </w:r>
    </w:p>
    <w:p w:rsidR="00000000" w:rsidRDefault="00EB10C3">
      <w:pPr>
        <w:shd w:val="clear" w:color="auto" w:fill="FFFFFF"/>
        <w:spacing w:line="223" w:lineRule="exact"/>
        <w:ind w:left="713"/>
      </w:pPr>
      <w:r>
        <w:rPr>
          <w:b/>
          <w:bCs/>
          <w:color w:val="000000"/>
        </w:rPr>
        <w:t xml:space="preserve">Objective: </w:t>
      </w:r>
      <w:r>
        <w:rPr>
          <w:color w:val="000000"/>
        </w:rPr>
        <w:t>To determine the prevalence of osteoporosis and osteopenia in a sample of urban Sri Lankans.</w:t>
      </w:r>
    </w:p>
    <w:p w:rsidR="00000000" w:rsidRDefault="00EB10C3">
      <w:pPr>
        <w:shd w:val="clear" w:color="auto" w:fill="FFFFFF"/>
        <w:spacing w:line="223" w:lineRule="exact"/>
        <w:ind w:left="706"/>
      </w:pPr>
      <w:r>
        <w:rPr>
          <w:b/>
          <w:bCs/>
          <w:color w:val="000000"/>
          <w:spacing w:val="8"/>
        </w:rPr>
        <w:t xml:space="preserve">Design, setting and methods: </w:t>
      </w:r>
      <w:r>
        <w:rPr>
          <w:color w:val="000000"/>
          <w:spacing w:val="8"/>
        </w:rPr>
        <w:t>A descriptive cr</w:t>
      </w:r>
      <w:r>
        <w:rPr>
          <w:color w:val="000000"/>
          <w:spacing w:val="8"/>
        </w:rPr>
        <w:t>oss sectional study was conducted at the Faculty of</w:t>
      </w:r>
    </w:p>
    <w:p w:rsidR="00000000" w:rsidRDefault="00EB10C3">
      <w:pPr>
        <w:shd w:val="clear" w:color="auto" w:fill="FFFFFF"/>
        <w:spacing w:line="223" w:lineRule="exact"/>
        <w:ind w:left="713"/>
      </w:pPr>
      <w:r>
        <w:rPr>
          <w:color w:val="000000"/>
          <w:spacing w:val="2"/>
        </w:rPr>
        <w:t>Medicine, University ofKelaniya from July 2007 to October 2007. The study subjects were selected from</w:t>
      </w:r>
    </w:p>
    <w:p w:rsidR="00000000" w:rsidRDefault="00EB10C3">
      <w:pPr>
        <w:shd w:val="clear" w:color="auto" w:fill="FFFFFF"/>
        <w:spacing w:line="223" w:lineRule="exact"/>
        <w:ind w:left="713"/>
      </w:pPr>
      <w:r>
        <w:rPr>
          <w:color w:val="000000"/>
          <w:spacing w:val="1"/>
        </w:rPr>
        <w:t>22 Gramasevaka Niladhari Divisions of the Ragama MOH area. From each division, people aged 35 to 65</w:t>
      </w:r>
    </w:p>
    <w:p w:rsidR="00000000" w:rsidRDefault="00EB10C3">
      <w:pPr>
        <w:shd w:val="clear" w:color="auto" w:fill="FFFFFF"/>
        <w:spacing w:line="223" w:lineRule="exact"/>
        <w:ind w:left="713"/>
      </w:pPr>
      <w:r>
        <w:rPr>
          <w:color w:val="000000"/>
          <w:spacing w:val="2"/>
        </w:rPr>
        <w:t>ye</w:t>
      </w:r>
      <w:r>
        <w:rPr>
          <w:color w:val="000000"/>
          <w:spacing w:val="2"/>
        </w:rPr>
        <w:t>ars were randomly selected from the voters list and invited to participate in the study. A P-DEXA scan</w:t>
      </w:r>
    </w:p>
    <w:p w:rsidR="00000000" w:rsidRDefault="00EB10C3">
      <w:pPr>
        <w:shd w:val="clear" w:color="auto" w:fill="FFFFFF"/>
        <w:spacing w:line="223" w:lineRule="exact"/>
        <w:ind w:left="720"/>
      </w:pPr>
      <w:r>
        <w:rPr>
          <w:color w:val="000000"/>
        </w:rPr>
        <w:t>was used to measure the BMD of the left middle finger. A T score of &lt;-2.5 was considered as osteoporosis,</w:t>
      </w:r>
    </w:p>
    <w:p w:rsidR="00000000" w:rsidRDefault="00EB10C3">
      <w:pPr>
        <w:shd w:val="clear" w:color="auto" w:fill="FFFFFF"/>
        <w:spacing w:line="223" w:lineRule="exact"/>
        <w:ind w:left="720"/>
      </w:pPr>
      <w:r>
        <w:rPr>
          <w:color w:val="000000"/>
          <w:spacing w:val="1"/>
        </w:rPr>
        <w:t xml:space="preserve">-1 to -2.5 as osteopenia. These two categories </w:t>
      </w:r>
      <w:r>
        <w:rPr>
          <w:color w:val="000000"/>
          <w:spacing w:val="1"/>
        </w:rPr>
        <w:t>together were considered low BMD. A T score of &gt; -1 was</w:t>
      </w:r>
    </w:p>
    <w:p w:rsidR="00000000" w:rsidRDefault="00EB10C3">
      <w:pPr>
        <w:shd w:val="clear" w:color="auto" w:fill="FFFFFF"/>
        <w:spacing w:before="7" w:line="223" w:lineRule="exact"/>
        <w:ind w:left="720"/>
      </w:pPr>
      <w:r>
        <w:rPr>
          <w:color w:val="000000"/>
        </w:rPr>
        <w:t>considered normal.</w:t>
      </w:r>
    </w:p>
    <w:p w:rsidR="00000000" w:rsidRDefault="00EB10C3">
      <w:pPr>
        <w:shd w:val="clear" w:color="auto" w:fill="FFFFFF"/>
        <w:spacing w:line="223" w:lineRule="exact"/>
        <w:ind w:left="720"/>
      </w:pPr>
      <w:r>
        <w:rPr>
          <w:b/>
          <w:bCs/>
          <w:color w:val="000000"/>
          <w:spacing w:val="6"/>
        </w:rPr>
        <w:t xml:space="preserve">Results: </w:t>
      </w:r>
      <w:r>
        <w:rPr>
          <w:color w:val="000000"/>
          <w:spacing w:val="6"/>
        </w:rPr>
        <w:t>There were 731 subjects with a mean age (SD) of 52.5 (7.5) comprising 60% females. The</w:t>
      </w:r>
    </w:p>
    <w:p w:rsidR="00000000" w:rsidRDefault="00EB10C3">
      <w:pPr>
        <w:shd w:val="clear" w:color="auto" w:fill="FFFFFF"/>
        <w:spacing w:line="223" w:lineRule="exact"/>
        <w:ind w:left="713"/>
      </w:pPr>
      <w:r>
        <w:rPr>
          <w:color w:val="000000"/>
          <w:spacing w:val="3"/>
        </w:rPr>
        <w:t>prevalences of osteopor</w:t>
      </w:r>
      <w:r>
        <w:rPr>
          <w:color w:val="000000"/>
          <w:spacing w:val="3"/>
        </w:rPr>
        <w:t>osis and osteopenia were 14% and 29% respectively. 20% of females and 6% of</w:t>
      </w:r>
    </w:p>
    <w:p w:rsidR="00000000" w:rsidRDefault="00EB10C3">
      <w:pPr>
        <w:shd w:val="clear" w:color="auto" w:fill="FFFFFF"/>
        <w:spacing w:line="223" w:lineRule="exact"/>
        <w:ind w:left="720"/>
      </w:pPr>
      <w:r>
        <w:rPr>
          <w:color w:val="000000"/>
        </w:rPr>
        <w:t>males were affected with osteoporosis. The prevalence of osteoporosis was 7% among those &lt;50 years and</w:t>
      </w:r>
    </w:p>
    <w:p w:rsidR="00000000" w:rsidRDefault="00EB10C3">
      <w:pPr>
        <w:shd w:val="clear" w:color="auto" w:fill="FFFFFF"/>
        <w:spacing w:before="7" w:line="223" w:lineRule="exact"/>
        <w:ind w:left="727"/>
      </w:pPr>
      <w:r>
        <w:rPr>
          <w:color w:val="000000"/>
        </w:rPr>
        <w:t>20% among those &gt;50 years.</w:t>
      </w:r>
    </w:p>
    <w:p w:rsidR="00000000" w:rsidRDefault="00EB10C3">
      <w:pPr>
        <w:shd w:val="clear" w:color="auto" w:fill="FFFFFF"/>
        <w:spacing w:line="223" w:lineRule="exact"/>
        <w:ind w:left="727"/>
      </w:pPr>
      <w:r>
        <w:rPr>
          <w:b/>
          <w:bCs/>
          <w:color w:val="000000"/>
          <w:spacing w:val="1"/>
        </w:rPr>
        <w:t xml:space="preserve">Conclusion: </w:t>
      </w:r>
      <w:r>
        <w:rPr>
          <w:color w:val="000000"/>
          <w:spacing w:val="1"/>
        </w:rPr>
        <w:t>There was a high prevalence of low BMD</w:t>
      </w:r>
      <w:r>
        <w:rPr>
          <w:color w:val="000000"/>
          <w:spacing w:val="1"/>
        </w:rPr>
        <w:t xml:space="preserve"> in this urban population. Prevalence of low BMD</w:t>
      </w:r>
    </w:p>
    <w:p w:rsidR="00EB10C3" w:rsidRDefault="00EB10C3">
      <w:pPr>
        <w:shd w:val="clear" w:color="auto" w:fill="FFFFFF"/>
        <w:spacing w:line="223" w:lineRule="exact"/>
        <w:ind w:left="727"/>
      </w:pPr>
      <w:r>
        <w:rPr>
          <w:color w:val="000000"/>
        </w:rPr>
        <w:t>was higher among females and those over fifty years.</w:t>
      </w:r>
    </w:p>
    <w:sectPr w:rsidR="00EB10C3">
      <w:type w:val="continuous"/>
      <w:pgSz w:w="12240" w:h="15840"/>
      <w:pgMar w:top="1440" w:right="2333" w:bottom="720" w:left="497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atha">
    <w:panose1 w:val="020B0604020202020204"/>
    <w:charset w:val="00"/>
    <w:family w:val="swiss"/>
    <w:pitch w:val="variable"/>
    <w:sig w:usb0="8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EB10C3"/>
    <w:rsid w:val="00EB1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565</Words>
  <Characters>3222</Characters>
  <Application>Microsoft Office Word</Application>
  <DocSecurity>0</DocSecurity>
  <Lines>26</Lines>
  <Paragraphs>7</Paragraphs>
  <ScaleCrop>false</ScaleCrop>
  <Company/>
  <LinksUpToDate>false</LinksUpToDate>
  <CharactersWithSpaces>3780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fom</dc:creator>
  <cp:keywords/>
  <dc:description/>
  <cp:lastModifiedBy>fom</cp:lastModifiedBy>
  <cp:revision>1</cp:revision>
  <dcterms:created xsi:type="dcterms:W3CDTF">2015-10-07T06:47:00Z</dcterms:created>
  <dcterms:modified xsi:type="dcterms:W3CDTF">2015-10-07T06:47:00Z</dcterms:modified>
</cp:coreProperties>
</file>